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KOVACS</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Jakli</w:t>
            </w:r>
          </w:p>
          <w:p w:rsidR="00DB4822" w:rsidRDefault="00DB4822" w:rsidP="00E11062">
            <w:pPr>
              <w:pStyle w:val="Konzulensek"/>
            </w:pPr>
            <w:r w:rsidRPr="00DB4822">
              <w:t>senior research fellow, ELTE TTK</w:t>
            </w:r>
          </w:p>
        </w:tc>
      </w:tr>
      <w:tr w:rsidR="00DB4822" w:rsidTr="00DB4822">
        <w:tc>
          <w:tcPr>
            <w:tcW w:w="9854" w:type="dxa"/>
          </w:tcPr>
          <w:p w:rsidR="00DB4822" w:rsidRPr="00DB4822" w:rsidRDefault="00DB4822" w:rsidP="004D7940">
            <w:pPr>
              <w:pStyle w:val="Konzulensek"/>
            </w:pPr>
            <w:r w:rsidRPr="00DB4822">
              <w:t>Andras Perczel</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Stability of Beta-sheets by Statistical and Quantum Chemical Modeling of Pair Correlation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Studying of the stability of the β-sheets is greatly important when examining certain aggregation diseases (e.g. Alzheimer’s disease, type II diapetes), because in these diseases the proteins loose their native structure and form a water-insoluble amyloid aggregate.</w:t>
      </w:r>
    </w:p>
    <w:p>
      <w:pPr>
        <w:pBdr/>
        <w:spacing w:before="240" w:after="240" w:line="240" w:lineRule="auto"/>
        <w:ind w:left="0" w:right="0"/>
        <w:jc w:val="left"/>
      </w:pPr>
      <w:r>
        <w:rPr>
          <w:color w:val="000000"/>
          <w:sz w:val="24"/>
          <w:szCs w:val="24"/>
        </w:rPr>
        <w:t xml:space="preserve">The stability of the β-sheets is considerably influenced by the interaction between the side chains. Earlier researches have shown that the distribution of the amino acid residues is not random, but there is a pairwise correlation between them. This so called pair correlation is denoted by the pair preference value, which is the ratio of the observed frequency and the expected (random) frequency of the certain residue pairs.</w:t>
      </w:r>
    </w:p>
    <w:p>
      <w:pPr>
        <w:pBdr/>
        <w:spacing w:before="240" w:after="240" w:line="240" w:lineRule="auto"/>
        <w:ind w:left="0" w:right="0"/>
        <w:jc w:val="left"/>
      </w:pPr>
      <w:r>
        <w:rPr>
          <w:color w:val="000000"/>
          <w:sz w:val="24"/>
          <w:szCs w:val="24"/>
        </w:rPr>
        <w:t xml:space="preserve">The constant growth of the Protein Data Bank, and the recent progression in the structure determination methods requires recalculating of the pair preference values, however, the newly computed values often differ from the older ones. The aim of the current work is to characterize the „goodness” of each database, and to determine their dependence on the initial parameters, such as the method of the structure determination (X-ray crystallography, NMR spectroscopy), resolution, R-factor and redundancy. Also, our aim was to discover whether or not the pair preference values correlate with the interaction energies.</w:t>
      </w:r>
    </w:p>
    <w:p>
      <w:pPr>
        <w:pBdr/>
        <w:spacing w:before="240" w:after="240" w:line="240" w:lineRule="auto"/>
        <w:ind w:left="0" w:right="0"/>
        <w:jc w:val="left"/>
      </w:pPr>
      <w:r>
        <w:rPr>
          <w:color w:val="000000"/>
          <w:sz w:val="24"/>
          <w:szCs w:val="24"/>
        </w:rPr>
        <w:t xml:space="preserve">Statistical analysis was performed on the protein structures stored in PDB. Several publicly available pre-culled databases were tested, as well as the effect of the filtering programs (PDBSelect, WHATIF, PISCES, cd-hit). Quantum chemical calculations also were carried out on tripeptide dimer models, at different level of theories.</w:t>
      </w:r>
    </w:p>
    <w:p>
      <w:pPr>
        <w:pBdr/>
        <w:spacing w:before="240" w:after="240" w:line="240" w:lineRule="auto"/>
        <w:ind w:left="0" w:right="0"/>
        <w:jc w:val="left"/>
      </w:pPr>
      <w:r>
        <w:rPr>
          <w:color w:val="000000"/>
          <w:sz w:val="24"/>
          <w:szCs w:val="24"/>
        </w:rPr>
        <w:t xml:space="preserve">Significant difference was discovered between pair preference values calculated form NMR and X-ray structures. The redundancy of an ideal dataset is at most 35-40%, and the R-factor must not be higher than 0.16.</w:t>
      </w:r>
    </w:p>
    <w:p>
      <w:pPr>
        <w:pBdr/>
        <w:spacing w:before="240" w:after="240" w:line="240" w:lineRule="auto"/>
        <w:ind w:left="0" w:right="0"/>
        <w:jc w:val="left"/>
      </w:pPr>
      <w:r>
        <w:rPr>
          <w:color w:val="000000"/>
          <w:sz w:val="24"/>
          <w:szCs w:val="24"/>
        </w:rPr>
        <w:t xml:space="preserve">A significant correlation was observed between the distribution of the side chain orientation and the interaction energies. However, no correlation was found between the interaction energies and the frequencies of the certain residue pairs, which indicates that the protein folding is not an energy controlled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47472">
    <w:multiLevelType w:val="hybridMultilevel"/>
    <w:lvl w:ilvl="0" w:tplc="14669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47472">
    <w:abstractNumId w:val="41247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112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