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ORGOVAN</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Harmat</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Dora K. Menyhard</w:t>
            </w:r>
          </w:p>
          <w:p w:rsidR="00DB4822" w:rsidRDefault="00DB4822" w:rsidP="00E11062">
            <w:pPr>
              <w:pStyle w:val="Konzulensek"/>
            </w:pPr>
            <w:r w:rsidRPr="00DB4822">
              <w:t>senior research fellow,  MTA-ELTE Protein Modelling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the selectivity, substrate binding and catalitic mechanism of an oligopeptidase py protein crystallography and in silico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carried out structural studies on Aeropyrum pernix acilaminoacil peptidase enzyme (ApAAP), which is a member of the prolyl oligopeptidase family. Several members of the family are due to its physiological significance, is a drug target protein. Main purpose of the investigations was to clarify the means by which the substrate reaches the buried active site of the molecule. Several members of the family have been noted to possess both open and closed conformations. When open, the hydrolase domain (which contains the active site) and the propeller domain (obstructing its accessibility) move away from each other, thus allowing entrance of the substrate. However, in this case the structure of the active site is distorted (the loop carrying the active histidine residue is shifted), allowing the reaction to proceed only when the enzyme closes upon the substrate, so deselecting longer peptide chains that are not substrates of the enzyme. When closed, and the only connection between the active site and the outside world is the narrow pore bisecting the propeller domain.</w:t>
      </w:r>
      <w:r>
        <w:rPr>
          <w:color w:val="000000"/>
          <w:sz w:val="24"/>
          <w:szCs w:val="24"/>
        </w:rPr>
        <w:br/>
        <w:t xml:space="preserve">To explore the relationship between small-substrate binding and the restoration of the active site of the catalytically disabled open conformation I used a substrate-analog inhibitor and protein crystallography, and molecular dynamics simulations to study the binding of larger, oligopeptide substrates of the enzyme in the inner cavity and their entrance/exit paths.</w:t>
      </w:r>
      <w:r>
        <w:rPr>
          <w:color w:val="000000"/>
          <w:sz w:val="24"/>
          <w:szCs w:val="24"/>
        </w:rPr>
        <w:br/>
        <w:t xml:space="preserve">For crystallographic experiments ApAAP protein crystals containing asymmetric dimers – one molecule in open, and in the other in closed conformation - were soaked in a solution containing the inhibitor. The inhibitor only bound to the active site of the closed conformer. This result suggests that the binding of the substrate/inhibitor is not sufficient to restore active conformation of the histidine loop, but the closing of the enzyme and the restoration of the inter-domain interactions. The calculations carried out using the structure determined, showed that small substrates can enter the active cavity through the pore of the propeller domain. The molecular dynamics simulations showed that the -in silico extended- N-terminus of the substrate is oriented towards the pore, suggesting that the opening of the propeller domain can serve as entrance and exit for substrates not exceeding 10-15 residues in length.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52321">
    <w:multiLevelType w:val="hybridMultilevel"/>
    <w:lvl w:ilvl="0" w:tplc="97156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52321">
    <w:abstractNumId w:val="16352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79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