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SZÉKELY</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Novák</w:t>
            </w:r>
          </w:p>
          <w:p w:rsidR="00DB4822" w:rsidRDefault="00DB4822" w:rsidP="00E11062">
            <w:pPr>
              <w:pStyle w:val="Konzulensek"/>
            </w:pPr>
            <w:r w:rsidRPr="00DB4822">
              <w:t>assistant professzor,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hypervalent iodine compounds in copper-catalyzed oxidative cross-coupling reactions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formation of carbon-carbon bond plays an important role in synthetic organic chemistry, especially the arylation reactions as we can use it in the synthesis of natural products, drugs and to form ligands of catalysts. In the recent years the importance of cross-coupling reactions has grown in researches and applications as well, because with the use of proper catalysts and reagents the starting materials can effectively and selectively be transformed to the desired product without the prefunctionalization of the initial compounds.</w:t>
      </w:r>
    </w:p>
    <w:p>
      <w:pPr>
        <w:pBdr/>
        <w:spacing w:before="240" w:after="240" w:line="240" w:lineRule="auto"/>
        <w:ind w:left="0" w:right="0"/>
        <w:jc w:val="left"/>
      </w:pPr>
      <w:r>
        <w:rPr>
          <w:color w:val="000000"/>
          <w:sz w:val="24"/>
          <w:szCs w:val="24"/>
        </w:rPr>
        <w:t xml:space="preserve">The most frequently used transition metals as catalysts are palladium, nickel, iridium, gold and copper and their derivatives. They gained much attention as the publications showed that higher selectivity can be reached with the use of palladium and copper – the prior gives ortho- and para-selectivity, while the latter gives meta-selectivity. Of course the nature of the selectivity depends on the structure of the starting materials and the applied reagents as well.</w:t>
      </w:r>
    </w:p>
    <w:p>
      <w:pPr>
        <w:pBdr/>
        <w:spacing w:before="240" w:after="240" w:line="240" w:lineRule="auto"/>
        <w:ind w:left="0" w:right="0"/>
        <w:jc w:val="left"/>
      </w:pPr>
      <w:r>
        <w:rPr>
          <w:color w:val="000000"/>
          <w:sz w:val="24"/>
          <w:szCs w:val="24"/>
        </w:rPr>
        <w:t xml:space="preserve">In our researches we have dealt with the group of synthesis which applies copper as catalysts and hypervalent iodine compounds. Previously our research group has developed a reusable copper-catalyst [[1]], which can be easily handled and we have successfully applied it in the examined transformations.</w:t>
      </w:r>
    </w:p>
    <w:p>
      <w:pPr>
        <w:pBdr/>
        <w:spacing w:before="240" w:after="240" w:line="240" w:lineRule="auto"/>
        <w:ind w:left="0" w:right="0"/>
        <w:jc w:val="left"/>
      </w:pPr>
      <w:r>
        <w:rPr>
          <w:color w:val="000000"/>
          <w:sz w:val="24"/>
          <w:szCs w:val="24"/>
        </w:rPr>
        <w:t xml:space="preserve">One of the two themes in this work is the study of a copper-catalyzed meta-selective aromatic arylation reaction [[2]] in heterogeneous catalytic conditions. During our research the reaction has not shown complete conversion (the average conversion was 93%). This has awakened our attention as we found that in literature other researches could not have gained higher conversion as well, so we started to deal with exploring the inhibitors.</w:t>
      </w:r>
    </w:p>
    <w:p>
      <w:pPr>
        <w:pBdr/>
        <w:spacing w:before="240" w:after="240" w:line="240" w:lineRule="auto"/>
        <w:ind w:left="0" w:right="0"/>
        <w:jc w:val="left"/>
      </w:pPr>
      <w:r>
        <w:rPr>
          <w:color w:val="000000"/>
          <w:sz w:val="24"/>
          <w:szCs w:val="24"/>
        </w:rPr>
        <w:t xml:space="preserve">The second topic of our studies is a ring-closing C-H activation reaction with the oxidative formation of a carbon-nitrogen bond which provides an acridine-type molecule. We have applied copper-catalysis here as well and we synthetized iodonium reagents for the reaction, which supposedly facilitate the ring-closing step.</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[[1]] Sz. Kovacs, Z. Novak Org. Biomol. Chem. 2011, 9, 711</w:t>
      </w:r>
    </w:p>
    <w:p>
      <w:pPr>
        <w:pBdr/>
        <w:spacing w:before="240" w:after="240" w:line="240" w:lineRule="auto"/>
        <w:ind w:left="0" w:right="0"/>
        <w:jc w:val="left"/>
      </w:pPr>
      <w:r>
        <w:rPr>
          <w:color w:val="000000"/>
          <w:sz w:val="24"/>
          <w:szCs w:val="24"/>
        </w:rPr>
        <w:t xml:space="preserve">[[2]] R.J. Phipps, M.J. Gaunt, Science, 2009, 323, 1593.</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23068">
    <w:multiLevelType w:val="hybridMultilevel"/>
    <w:lvl w:ilvl="0" w:tplc="75743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23068">
    <w:abstractNumId w:val="216230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773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