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TÓTH</w:t>
            </w:r>
          </w:p>
          <w:p w:rsidR="00C275A3" w:rsidRDefault="00A96AEC" w:rsidP="00C275A3">
            <w:pPr>
              <w:pStyle w:val="Hallgatokepzes"/>
            </w:pPr>
            <w:r>
              <w:t>Chemistry</w:t>
            </w:r>
            <w:r>
              <w:br/>
            </w:r>
            <w:r w:rsidR="00E77B23">
              <w:t>MSc,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Szabados</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Excitation energies of molecular fragments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When dealing with extended chemical systems, it may occur that only a small part is relevant, because the problem under investigation – e.g. an electronic excitation -- is localized. Ultraviolet and visible light absorption experiments confirm, that the the excitation energy of a chromophor group – where the excitation takes place -- is restricted to a small energy window. When calculating these transitions, it is a practical need to consider only the fragment instead of the entire molecule, since computation time is a polynomial function of system size.</w:t>
      </w:r>
    </w:p>
    <w:p>
      <w:pPr>
        <w:pBdr/>
        <w:spacing w:before="240" w:after="240" w:line="240" w:lineRule="auto"/>
        <w:ind w:left="0" w:right="0"/>
        <w:jc w:val="left"/>
      </w:pPr>
      <w:r>
        <w:rPr>
          <w:color w:val="000000"/>
          <w:sz w:val="24"/>
          <w:szCs w:val="24"/>
        </w:rPr>
        <w:t xml:space="preserve">In this study the applicability of the Frozen Localized Molecular Orbitals (FLMO) method is applied for the calculation of electronic excitation energies of chromophores. The FLMO method makes it possible to carry out an electron correlation calculation only on the fragment, while the less important part is treated at Hartree-Fock level. The method relies on a freezing of those molecular orbitals, which are not assigned to the fragment. The technique of freezing is similar to a frozen core calculation, with the difference that in an FLMO calculation localized molecular orbitals are frozen.</w:t>
      </w:r>
    </w:p>
    <w:p>
      <w:pPr>
        <w:pBdr/>
        <w:spacing w:before="240" w:after="240" w:line="240" w:lineRule="auto"/>
        <w:ind w:left="0" w:right="0"/>
        <w:jc w:val="left"/>
      </w:pPr>
      <w:r>
        <w:rPr>
          <w:color w:val="000000"/>
          <w:sz w:val="24"/>
          <w:szCs w:val="24"/>
        </w:rPr>
        <w:t xml:space="preserve">When calculating fragment excitation energies by FLMO, we have to make decisions on a number of occasions. The most important question is to determine which atoms constitute the fragment, and to decide what to do with orbitals connecting the fragment and the frozen part of the molecule. The aim of the present study was to find the optimal decision in the above and some further questions. Though some of these questions are rather technical, we found them crucial when evaluating numerical performance of the FLMO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20594">
    <w:multiLevelType w:val="hybridMultilevel"/>
    <w:lvl w:ilvl="0" w:tplc="408556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20594">
    <w:abstractNumId w:val="179205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20391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