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FEHÉR ÁDÁM</w:t>
            </w:r>
          </w:p>
          <w:p w:rsidR="00C275A3" w:rsidRDefault="00A96AEC" w:rsidP="00C275A3">
            <w:pPr>
              <w:pStyle w:val="Hallgatokepzes"/>
            </w:pPr>
            <w:r>
              <w:t>Vadgazda mérnök</w:t>
            </w:r>
            <w:r>
              <w:br/>
            </w:r>
            <w:r w:rsidR="00E77B23">
              <w:t>MSc, 3. félév</w:t>
            </w:r>
          </w:p>
          <w:p w:rsidR="00C265CE" w:rsidRPr="009E5FF1" w:rsidRDefault="00E77B23" w:rsidP="00C275A3">
            <w:pPr>
              <w:pStyle w:val="Hallgatokepzes"/>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Katona Krisztián</w:t>
            </w:r>
          </w:p>
          <w:p w:rsidR="00DB4822" w:rsidRDefault="00DB4822" w:rsidP="00E11062">
            <w:pPr>
              <w:pStyle w:val="Konzulensek"/>
            </w:pPr>
            <w:r w:rsidRPr="00DB4822">
              <w:t>egyetemi docens,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NÖVÉNYEVŐ NAGYVADFAJOK AKÁC-RÁGÁSÁNAK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akác /Robinia pseudoacacia/ alapvető gazdasági főfafajunk és a növényevő nagyvadjaink által intenzíven rágott faj. A vadrágásnak jelentős szerepet tulajdonítanak a haszonfa minőségromlásában. A hazai kutatások között azonban alig van olyan, ami a vadrágás hosszú távú hatását vizsgálná egy-egy fafajra nézve.</w:t>
      </w:r>
    </w:p>
    <w:p>
      <w:pPr>
        <w:widowControl w:val="on"/>
        <w:pBdr/>
        <w:spacing w:before="240" w:after="240" w:line="240" w:lineRule="auto"/>
        <w:ind w:left="0" w:right="0"/>
        <w:jc w:val="left"/>
      </w:pPr>
      <w:r>
        <w:rPr>
          <w:color w:val="000000"/>
          <w:sz w:val="24"/>
          <w:szCs w:val="24"/>
        </w:rPr>
        <w:t xml:space="preserve">A vizsgálati területen gyűjtött hajtáskínálat-használat adatok alapján preferenciaszámolásokkal (Bonferroni-teszt, Jacobs-index) elemeztem az akácra nehezedő növényevő nyomást. Szimulált vadrágás vizsgálatokkal meghatároztam a rágás hatását a fiatal akácegyedek fejlődésére-növekedésére. A vizsgálatokra a Heves-megyei Apc határában, egy spontán beerdősülő területen került sor 2011 októbere és 2012 augusztusa között, összesen négy alkalommal. A kezelés során a területen található akác csemete és újulati korú egyedeit választottam ki; magassági csoportonként (1m alatt és 1m felett) 30-30 darabot. Ezek vezér- és oldalhajtásainak felét vágtam vissza akkora átmérőnél, amekkoránál az leggyakrabban rágva volt. A kezelés-hatás lemérése érdekében kontroll csoport – ugyancsak 30-30 db – kijelölésére is szükség volt, amelyek szintén a hasonló korban lévő akáccsemeték-fácskák közül kerültek ki. Minden példánynál felvételezésre került a magasság, hosszúság, törzsátmérő, hajtásszám valamint a levélszám. Ezt a kezelést a tél beállta előtt, és egy másik ugyanekkora létszámú csoporton a telet követően is elvégeztem.</w:t>
      </w:r>
    </w:p>
    <w:p>
      <w:pPr>
        <w:widowControl w:val="on"/>
        <w:pBdr/>
        <w:spacing w:before="240" w:after="240" w:line="240" w:lineRule="auto"/>
        <w:ind w:left="0" w:right="0"/>
        <w:jc w:val="left"/>
      </w:pPr>
      <w:r>
        <w:rPr>
          <w:color w:val="000000"/>
          <w:sz w:val="24"/>
          <w:szCs w:val="24"/>
        </w:rPr>
        <w:t xml:space="preserve">A preferencia vizsgálatok igazolták az akác kiemelkedő szerepét, kedveltségét a rágott hajtások alapján, viszont a biomassza adatokkal számolva már nem lehetett ilyen preferenciát kimutatni, szemben bizonyos cserjefajok kedveltségével. A szimulált rágás nem állította meg az akác magassági és törzsátmérő növekedését, az említett paraméterek vonatkozásában a kezelt és a kontroll csoportok között jelentősebb különbség nem volt kimutatható. Viszont a kezelt egyedek nagyobb hajtásszám növekedést mutattak, mint a kontroll csoport egyedei.</w:t>
      </w:r>
    </w:p>
    <w:p>
      <w:pPr>
        <w:widowControl w:val="on"/>
        <w:pBdr/>
        <w:spacing w:before="240" w:after="240" w:line="240" w:lineRule="auto"/>
        <w:ind w:left="0" w:right="0"/>
        <w:jc w:val="left"/>
      </w:pPr>
      <w:r>
        <w:rPr>
          <w:color w:val="000000"/>
          <w:sz w:val="24"/>
          <w:szCs w:val="24"/>
        </w:rPr>
        <w:t xml:space="preserve">Preferenciaszámolásaink nyilvánvalóan mutatták az akác nagyvadfajok általi kedveltségét, amire viszont a változatos cserjeszint jelenléte – mint alternatív táplálékforrás – is hatással van. A szimulált rágásos vizsgálatok eddigi eredményei alapján még egy jelentősebb mértékű hajtásrágás sem volt kimutatható negatív hatással rövidtávon az akác méretbeli növekedésére. Vagyis más fafajokon tapasztaltakkal ellentétben az akácegyedeket kevésbé viselte meg a szimulált vadrágás - legalábbis szűk egyéves időtávlatban.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66087">
    <w:multiLevelType w:val="hybridMultilevel"/>
    <w:lvl w:ilvl="0" w:tplc="12822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66087">
    <w:abstractNumId w:val="12266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32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