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BÁLINT TÓTH</w:t>
            </w:r>
          </w:p>
          <w:p w:rsidR="00C275A3" w:rsidRDefault="00A96AEC" w:rsidP="00C275A3">
            <w:pPr>
              <w:pStyle w:val="Hallgatokepzes"/>
            </w:pPr>
            <w:r>
              <w:t>Wildlife management engineer</w:t>
            </w:r>
            <w:r>
              <w:br/>
            </w:r>
            <w:r w:rsidR="00E77B23">
              <w:t>MSc, 3. semester</w:t>
            </w:r>
          </w:p>
          <w:p w:rsidR="00C265CE" w:rsidRPr="009E5FF1" w:rsidRDefault="00E77B23" w:rsidP="00C275A3">
            <w:pPr>
              <w:pStyle w:val="Hallgatokepzes"/>
              <w:rPr>
                <w:b/>
                <w:caps/>
              </w:rPr>
            </w:pPr>
            <w:r>
              <w:t>Szent István University</w:t>
            </w:r>
            <w:r w:rsidR="00C275A3">
              <w:br/>
            </w:r>
            <w:r w:rsidR="00DB4822">
              <w:t>Faculty of Agricultural and Environmental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Norbert Bleier</w:t>
            </w:r>
          </w:p>
          <w:p w:rsidR="00DB4822" w:rsidRDefault="00DB4822" w:rsidP="00E11062">
            <w:pPr>
              <w:pStyle w:val="Konzulensek"/>
            </w:pPr>
            <w:r w:rsidRPr="00DB4822">
              <w:t>professor's assistant, SZIE MKK</w:t>
            </w:r>
          </w:p>
        </w:tc>
      </w:tr>
      <w:tr w:rsidR="00DB4822" w:rsidTr="00DB4822">
        <w:tc>
          <w:tcPr>
            <w:tcW w:w="9854" w:type="dxa"/>
          </w:tcPr>
          <w:p w:rsidR="00DB4822" w:rsidRPr="00DB4822" w:rsidRDefault="00DB4822" w:rsidP="004D7940">
            <w:pPr>
              <w:pStyle w:val="Konzulensek"/>
            </w:pPr>
            <w:r w:rsidRPr="00DB4822">
              <w:t>Dr. Sándor Csányi</w:t>
            </w:r>
          </w:p>
          <w:p w:rsidR="00DB4822" w:rsidRDefault="00DB4822" w:rsidP="00E11062">
            <w:pPr>
              <w:pStyle w:val="Konzulensek"/>
            </w:pPr>
            <w:r w:rsidRPr="00DB4822">
              <w:t>professor, SZIE MKK</w:t>
            </w:r>
          </w:p>
        </w:tc>
      </w:tr>
      <w:tr w:rsidR="00DB4822" w:rsidTr="00DB4822">
        <w:tc>
          <w:tcPr>
            <w:tcW w:w="9854" w:type="dxa"/>
          </w:tcPr>
          <w:p w:rsidR="00DB4822" w:rsidRPr="00DB4822" w:rsidRDefault="00DB4822" w:rsidP="004D7940">
            <w:pPr>
              <w:pStyle w:val="Konzulensek"/>
            </w:pPr>
            <w:r w:rsidRPr="00DB4822">
              <w:t>Gergely Tibor Schally</w:t>
            </w:r>
          </w:p>
          <w:p w:rsidR="00DB4822" w:rsidRDefault="00DB4822" w:rsidP="00E11062">
            <w:pPr>
              <w:pStyle w:val="Konzulensek"/>
            </w:pPr>
            <w:r w:rsidRPr="00DB4822">
              <w:t>PhD student, SZIE MKK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Comparison of different home range estimation methods to analyze the home range of roe deer (Capreolus capreolus)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rapidly developing research methods of wildlife biology allow the accurate, high-volume data collection of wild animals. Habitat use is one of the most important topics in wildlife biology studies. The related results are very helpful to the conscious management or conservation of wild species. There are several ways to estimate the home ranges of individuals. Minimum convex polygon (MCP) and kernel home range (KHR) estimates are the simplest and most commonly used methods, advantages and disadvantages of these methods are generally known now. Local convex hull (LoCoH) is a new method, the current research suggest that is a more accurate estimate of the home range size of an animal, or a population. The aims of this study are to present the application of the LoCoH method example of the roe deer (Capreolus capreolus) and to do a comparative assessment of the home range analysis results with MCP, KHR and LoCoH methods.</w:t>
      </w:r>
      <w:r>
        <w:rPr>
          <w:color w:val="000000"/>
          <w:sz w:val="24"/>
          <w:szCs w:val="24"/>
        </w:rPr>
        <w:br/>
        <w:t xml:space="preserve">Questions: Can the LoCoH method be applied successfully for these conditions? Are there any differences in home range sizes obtained by these methods, and can any difference in the complex home range analysis be detected?</w:t>
      </w:r>
      <w:r>
        <w:rPr>
          <w:color w:val="000000"/>
          <w:sz w:val="24"/>
          <w:szCs w:val="24"/>
        </w:rPr>
        <w:br/>
        <w:t xml:space="preserve">I analyzed one year’s localization data of eight roe deer captured and marked in a floodplain forest. They have been tagged with GPS-GSM collars in January 2007. Data processing was carried out in ArcView, GIS (v3.1). The size of the MCP home ranges varied between 500-1000 hectares, however there were differences between the individuals. The KHR and LoCoH areas were much smaller then the MCP areas, the area sizes at 90% were between 60-60 hectares. The core areas (60%) were only 5-13 hectares. LoCoH results show that the method can be applied successfully, however, a deeper analysis of the results obtained by various methods (vegetation and habitat preferences) is needed.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206965">
    <w:multiLevelType w:val="hybridMultilevel"/>
    <w:lvl w:ilvl="0" w:tplc="658715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206965">
    <w:abstractNumId w:val="2720696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6842262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