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BŐTI SZILVIA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Jászfényszaru énekesmadár diverzitásának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évtizedekben, a világ többi részéhez hasonlóan, Magyarországon is növekedett a városok száma, területe és lakossága is. A városok élhetőségének, és élőhelyeik minőségének kiváló indikátorai az oda beköltöző énekesmadár fajok. Táplálkozásukból és életmódjukból adódóan különösen érzékenyek a bekövetkező élőhelyi változásokra. Ezért célom volt lakóhelyem, Jászfényszaru madárvilágának felmérése, az egyes fajok megjelenésének éves dinamikájának és az előfordulásra ható élőhelyi tényezők, mint a lakott terület határától való távolság valamint a kertek és közterületek növényzete, vizsgálata. Vizsgálati területem Jászfényszaru volt, melynek lakossága megközelíti a 6000 főt, területe 380 ha. Vizsgálataim során a madarak faj-és egyedszám becslését pontszámlálás módszerével végeztem. 1 éven keresztül havonta egyszer, minden felmérési ponton (33) 5 percen keresztül számláltam a madarakat. A vegetáció-felmérésnél minden felmérési pontnál a 10 legközelebb eső ház fa/bokor adatait jegyeztem fel 5 kategóriában: parkosított, művelt kertek; gyümölcstermőek, örökzöldek, egyéb lombosak. Az élőhelyek diverzitását Shannon-Wiener index-el (H) és egyenletességi index-el (E</w:t>
      </w:r>
      <w:r>
        <w:rPr>
          <w:color w:val="000000"/>
          <w:position w:val="-4"/>
          <w:sz w:val="21"/>
          <w:szCs w:val="21"/>
          <w:vertAlign w:val="subscript"/>
        </w:rPr>
        <w:t xml:space="preserve">H</w:t>
      </w:r>
      <w:r>
        <w:rPr>
          <w:color w:val="000000"/>
          <w:sz w:val="24"/>
          <w:szCs w:val="24"/>
        </w:rPr>
        <w:t xml:space="preserve">) határoztam meg. A vizsgálati időszak alatt 23 madárfajt észleltem a városon belül, az összes egyedszám meghaladta a 6000-t. A város központi területein a faj és egyedszám egész évben alacsonyabb volt, mint a városszéli területeken. A központban elhelyezkedő pontoknál a diverzitás is alacsonyabb volt, mint a város széléhez közelebb eső területeken. A parkosított vagy nem művelt, illetve a művelt területek aránya az egyedszámot befolyásolta.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35405">
    <w:multiLevelType w:val="hybridMultilevel"/>
    <w:lvl w:ilvl="0" w:tplc="66477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35405">
    <w:abstractNumId w:val="92335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362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