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BENDEGÚZ MIHALIK</w:t>
            </w:r>
          </w:p>
          <w:p w:rsidR="00C275A3" w:rsidRDefault="00A96AEC" w:rsidP="00C275A3">
            <w:pPr>
              <w:pStyle w:val="Hallgatokepzes"/>
            </w:pPr>
            <w:r>
              <w:t>Wildlife management engineer</w:t>
            </w:r>
            <w:r>
              <w:br/>
            </w:r>
            <w:r w:rsidR="00E77B23">
              <w:t>BSc, 7. semester</w:t>
            </w:r>
          </w:p>
          <w:p w:rsidR="00C265CE" w:rsidRPr="009E5FF1" w:rsidRDefault="00E77B23" w:rsidP="00C275A3">
            <w:pPr>
              <w:pStyle w:val="Hallgatokepzes"/>
              <w:rPr>
                <w:b/>
                <w:caps/>
              </w:rPr>
            </w:pPr>
            <w:r>
              <w:t>Szent István University</w:t>
            </w:r>
            <w:r w:rsidR="00C275A3">
              <w:br/>
            </w:r>
            <w:r w:rsidR="00DB4822">
              <w:t>Faculty of Agricultural and Environmental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Krisztián Katona</w:t>
            </w:r>
          </w:p>
          <w:p w:rsidR="00DB4822" w:rsidRDefault="00DB4822" w:rsidP="00E11062">
            <w:pPr>
              <w:pStyle w:val="Konzulensek"/>
            </w:pPr>
            <w:r w:rsidRPr="00DB4822">
              <w:t>associate professor, SZIE MKK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impact of ecological disasters on wildlife management: A case study from Ajka </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Economic activities can cause serious impacts on the environment, the most extreme ones are called ecological disasters. The goal of my study was to monitor the impacts of the red mud disaster on wildlife. On the surrounding hunting fields I searched if there are significant differences between three affected categories (swamped by red mud, puffer zone, non-affected zone) regarding the usage of the territories, or the vanishing and returning of the species in the affected territories.</w:t>
      </w:r>
    </w:p>
    <w:p>
      <w:pPr>
        <w:pBdr/>
        <w:spacing w:before="240" w:after="240" w:line="240" w:lineRule="auto"/>
        <w:ind w:left="0" w:right="0"/>
        <w:jc w:val="left"/>
      </w:pPr>
      <w:r>
        <w:rPr>
          <w:color w:val="000000"/>
          <w:sz w:val="24"/>
          <w:szCs w:val="24"/>
        </w:rPr>
        <w:t xml:space="preserve">My assessment was done in Képesfa Hunting Company in Veszprém Country. The territory is 6290 acres: 2500 acres of woods, the rest is agricultural land, waste and scrubland.</w:t>
      </w:r>
    </w:p>
    <w:p>
      <w:pPr>
        <w:pBdr/>
        <w:spacing w:before="240" w:after="240" w:line="240" w:lineRule="auto"/>
        <w:ind w:left="0" w:right="0"/>
        <w:jc w:val="left"/>
      </w:pPr>
      <w:r>
        <w:rPr>
          <w:color w:val="000000"/>
          <w:sz w:val="24"/>
          <w:szCs w:val="24"/>
        </w:rPr>
        <w:t xml:space="preserve">I used the zone transect method to investigate the chance of occurence of the wildlife species. To gather data, three times within a year I monitored 5 different categories, with 5 lines in each category. The length of a line was 1 km.</w:t>
      </w:r>
    </w:p>
    <w:p>
      <w:pPr>
        <w:pBdr/>
        <w:spacing w:before="240" w:after="240" w:line="240" w:lineRule="auto"/>
        <w:ind w:left="0" w:right="0"/>
        <w:jc w:val="left"/>
      </w:pPr>
      <w:r>
        <w:rPr>
          <w:color w:val="000000"/>
          <w:sz w:val="24"/>
          <w:szCs w:val="24"/>
        </w:rPr>
        <w:t xml:space="preserve">My data regarding both the affected territory use and the three monitoring dates show significant difference only in case of roe and wild duck.</w:t>
      </w:r>
    </w:p>
    <w:p>
      <w:pPr>
        <w:pBdr/>
        <w:spacing w:before="240" w:after="240" w:line="240" w:lineRule="auto"/>
        <w:ind w:left="0" w:right="0"/>
        <w:jc w:val="left"/>
      </w:pPr>
      <w:r>
        <w:rPr>
          <w:color w:val="000000"/>
          <w:sz w:val="24"/>
          <w:szCs w:val="24"/>
        </w:rPr>
        <w:t xml:space="preserve">As for roe deer I found the following significant differences:</w:t>
      </w:r>
    </w:p>
    <w:p>
      <w:pPr>
        <w:pBdr/>
        <w:spacing w:before="240" w:after="240" w:line="240" w:lineRule="auto"/>
        <w:ind w:left="0" w:right="0"/>
        <w:jc w:val="left"/>
      </w:pPr>
      <w:r>
        <w:rPr>
          <w:color w:val="000000"/>
          <w:sz w:val="24"/>
          <w:szCs w:val="24"/>
        </w:rPr>
        <w:t xml:space="preserve">-In the puffer zone of the forest I found greater density in October, 2011 than July, 2012.</w:t>
      </w:r>
    </w:p>
    <w:p>
      <w:pPr>
        <w:pBdr/>
        <w:spacing w:before="240" w:after="240" w:line="240" w:lineRule="auto"/>
        <w:ind w:left="0" w:right="0"/>
        <w:jc w:val="left"/>
      </w:pPr>
      <w:r>
        <w:rPr>
          <w:color w:val="000000"/>
          <w:sz w:val="24"/>
          <w:szCs w:val="24"/>
        </w:rPr>
        <w:t xml:space="preserve">-In October, 2011 I found greater density in the puffer zone of the agriculture than the swamped zone of the agriculture.</w:t>
      </w:r>
    </w:p>
    <w:p>
      <w:pPr>
        <w:pBdr/>
        <w:spacing w:before="240" w:after="240" w:line="240" w:lineRule="auto"/>
        <w:ind w:left="0" w:right="0"/>
        <w:jc w:val="left"/>
      </w:pPr>
      <w:r>
        <w:rPr>
          <w:color w:val="000000"/>
          <w:sz w:val="24"/>
          <w:szCs w:val="24"/>
        </w:rPr>
        <w:t xml:space="preserve">-In July, 2012 I found greater density in the swamped zone of the agriculture than the non-affected zone of the agriculture.</w:t>
      </w:r>
    </w:p>
    <w:p>
      <w:pPr>
        <w:pBdr/>
        <w:spacing w:before="240" w:after="240" w:line="240" w:lineRule="auto"/>
        <w:ind w:left="0" w:right="0"/>
        <w:jc w:val="left"/>
      </w:pPr>
      <w:r>
        <w:rPr>
          <w:color w:val="000000"/>
          <w:sz w:val="24"/>
          <w:szCs w:val="24"/>
        </w:rPr>
        <w:t xml:space="preserve">As for wild duck I found the following significant differences:</w:t>
      </w:r>
    </w:p>
    <w:p>
      <w:pPr>
        <w:pBdr/>
        <w:spacing w:before="240" w:after="240" w:line="240" w:lineRule="auto"/>
        <w:ind w:left="0" w:right="0"/>
        <w:jc w:val="left"/>
      </w:pPr>
      <w:r>
        <w:rPr>
          <w:color w:val="000000"/>
          <w:sz w:val="24"/>
          <w:szCs w:val="24"/>
        </w:rPr>
        <w:t xml:space="preserve">-In the swamped zone of the agriculture I found greater density in July, 2012 than in October, 2011.</w:t>
      </w:r>
    </w:p>
    <w:p>
      <w:pPr>
        <w:pBdr/>
        <w:spacing w:before="240" w:after="240" w:line="240" w:lineRule="auto"/>
        <w:ind w:left="0" w:right="0"/>
        <w:jc w:val="left"/>
      </w:pPr>
      <w:r>
        <w:rPr>
          <w:color w:val="000000"/>
          <w:sz w:val="24"/>
          <w:szCs w:val="24"/>
        </w:rPr>
        <w:t xml:space="preserve">-In March and July, 2012 I found greater density in the swamped zone of the agriculture, than the puffer and the non-affected zone of the agriculture.</w:t>
      </w:r>
    </w:p>
    <w:p>
      <w:pPr>
        <w:pBdr/>
        <w:spacing w:before="240" w:after="240" w:line="240" w:lineRule="auto"/>
        <w:ind w:left="0" w:right="0"/>
        <w:jc w:val="left"/>
      </w:pPr>
      <w:r>
        <w:rPr>
          <w:color w:val="000000"/>
          <w:sz w:val="24"/>
          <w:szCs w:val="24"/>
        </w:rPr>
        <w:t xml:space="preserve">Based on my foil estimation the boar uses the swamped agricultural territory less than the non affected areas.</w:t>
      </w:r>
    </w:p>
    <w:p>
      <w:pPr>
        <w:pBdr/>
        <w:spacing w:before="240" w:after="240" w:line="240" w:lineRule="auto"/>
        <w:ind w:left="0" w:right="0"/>
        <w:jc w:val="left"/>
      </w:pPr>
      <w:r>
        <w:rPr>
          <w:color w:val="000000"/>
          <w:sz w:val="24"/>
          <w:szCs w:val="24"/>
        </w:rPr>
        <w:t xml:space="preserve">We can see from the estimation and hunting data of Képesfa Hunting Company that since 2010 the wildlife population setback of either species does not exceed the population setback prior to the disaster.</w:t>
      </w:r>
    </w:p>
    <w:p>
      <w:pPr>
        <w:pBdr/>
        <w:spacing w:before="240" w:after="240" w:line="240" w:lineRule="auto"/>
        <w:ind w:left="0" w:right="0"/>
        <w:jc w:val="left"/>
      </w:pPr>
      <w:r>
        <w:rPr>
          <w:color w:val="000000"/>
          <w:sz w:val="24"/>
          <w:szCs w:val="24"/>
        </w:rPr>
        <w:t xml:space="preserve">To sum it all up, we can say that the red mud disaster didn’t cause perceptible decrease neither in the population of winged-game species, nor that of the mammals, only a tiny difference between the usage of the territories by mammal game.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2938792">
    <w:multiLevelType w:val="hybridMultilevel"/>
    <w:lvl w:ilvl="0" w:tplc="7804530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2938792">
    <w:abstractNumId w:val="4293879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0973783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