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 SIRA</w:t>
            </w:r>
          </w:p>
          <w:p w:rsidR="00C275A3" w:rsidRDefault="00A96AEC" w:rsidP="00C275A3">
            <w:pPr>
              <w:pStyle w:val="Hallgatokepzes"/>
            </w:pPr>
            <w:r>
              <w:t>Nature protection engineer</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S.-Falusi</w:t>
            </w:r>
          </w:p>
          <w:p w:rsidR="00DB4822" w:rsidRDefault="00DB4822" w:rsidP="00E11062">
            <w:pPr>
              <w:pStyle w:val="Konzulensek"/>
            </w:pPr>
            <w:r w:rsidRPr="00DB4822">
              <w:t>assistant professor, SZIE MKK MKK KTI Department of Nature Conservation and Landscape Ecology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farmlands with lifeform based habitat maps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People have been interested in defining landscape and the 2-dimensioned showing of landscape structure for more centuries. Regarding the development of landsape definitions, the point of view of their own interests is considered to be the primary by the different disciplines. So the way of landsape imaging depends largely on the point of view that required to be evaluated. In case of nature conservation works, besides the genetic and special diversity, the preservation of the habitat diversity is a stressed task. Habitat map is made to make documentation and characterize a piece of landscape at a given time, which helps with planning the protection of particular species and species groups.</w:t>
      </w:r>
      <w:r>
        <w:rPr>
          <w:color w:val="000000"/>
          <w:sz w:val="24"/>
          <w:szCs w:val="24"/>
        </w:rPr>
        <w:br/>
        <w:t xml:space="preserve">During the national-level biodiversity monitoring programs related for tracking of time changing of the habitat, the General National Habitat-classification System is used widely which distinguishes some categories. It contains habitats formed in agricultural- and industrial regions, settlements and alongside roads besides the nature close habitats. The harmonization and calibration of national systems always have challenge and chance for mistake, so the European General Habitat-classification System was about to step over biogeographical regions beyond the unified national systems. In the 6 main categories ( municipal, field, vegetation covered under 30%, woody, aquatic or overland herbaceous plant covered) the basic of further classification of the habitats is given by the dominant Raunqiaer-type living types found in the single places. This method widens the facilities of landscape structure analyzation because besides the territorial elements, lineal and point elements are surveyed an besides the first three dominant species of the unit, the habitat capability and the concerning farming methods are recorded too.</w:t>
      </w:r>
      <w:r>
        <w:rPr>
          <w:color w:val="000000"/>
          <w:sz w:val="24"/>
          <w:szCs w:val="24"/>
        </w:rPr>
        <w:br/>
        <w:t xml:space="preserve">In the Kiskunság area in frame of the BioBio Project the GHC-method was used in order to explore the connections between farming method and biodiversity, where 18 cattle grazing farms were chosen of intensity-gradient. On the 1788 ha surveyed area 22 types of habitat type and 5 types of linear element were separated. During my work my aim was analyzing the living based habitat maps according to landscape ecology point of view, in addition the comparison of the different living classification systems. As a result I can tell that in agricultural habitats the GHC method is more appropriate to represent finer patterns deriving from the different operating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84467">
    <w:multiLevelType w:val="hybridMultilevel"/>
    <w:lvl w:ilvl="0" w:tplc="239440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84467">
    <w:abstractNumId w:val="663844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57130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