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VARGA</w:t>
            </w:r>
          </w:p>
          <w:p w:rsidR="00C275A3" w:rsidRDefault="00A96AEC" w:rsidP="00C275A3">
            <w:pPr>
              <w:pStyle w:val="Hallgatokepzes"/>
            </w:pPr>
            <w:r>
              <w:t>Philosophy</w:t>
            </w:r>
            <w:r>
              <w:br/>
            </w:r>
            <w:r w:rsidR="00E77B23">
              <w:t>MA, 9.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Janos Toth</w:t>
            </w:r>
          </w:p>
          <w:p w:rsidR="00DB4822" w:rsidRDefault="00DB4822" w:rsidP="00E11062">
            <w:pPr>
              <w:pStyle w:val="Konzulensek"/>
            </w:pPr>
            <w:r w:rsidRPr="00DB4822">
              <w:t>reader,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the Moral Status of Animals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About the Moral Status of Animals examines the moral status of animals within the dualism and antropocentrism of western philosophy.</w:t>
      </w:r>
    </w:p>
    <w:p>
      <w:pPr>
        <w:widowControl w:val="on"/>
        <w:pBdr/>
        <w:spacing w:before="240" w:after="240" w:line="240" w:lineRule="auto"/>
        <w:ind w:left="0" w:right="0"/>
        <w:jc w:val="left"/>
      </w:pPr>
      <w:r>
        <w:rPr>
          <w:color w:val="000000"/>
          <w:sz w:val="24"/>
          <w:szCs w:val="24"/>
        </w:rPr>
        <w:t xml:space="preserve">The first part reviews the difference between humans and animals from the ancient philosophy when thinkers (e. g. Socrates, Plato, Aristotle) thought that ratio could be the basis of moral status. Some philosophers (e. g. Aristotle, Saint Thomas, Descartes) denied the moral status of animals for diferrent reasons. There were thinkers (e. g. Kant) who talked about the indirect obligation to animals. In brief, important philosophers tried to argue that animals did not have moral status. Nonetheless several philosophers (e. g. a the school of Phythagoras, Plutarkhosz, Saint Francis, Schopenhauer Arthur) drew attention to the importance for the respect of animals. However, there was no attempt to establish the status of animals until the second part of 18th century.</w:t>
      </w:r>
    </w:p>
    <w:p>
      <w:pPr>
        <w:widowControl w:val="on"/>
        <w:pBdr/>
        <w:spacing w:before="240" w:after="240" w:line="240" w:lineRule="auto"/>
        <w:ind w:left="0" w:right="0"/>
        <w:jc w:val="left"/>
      </w:pPr>
      <w:r>
        <w:rPr>
          <w:color w:val="000000"/>
          <w:sz w:val="24"/>
          <w:szCs w:val="24"/>
        </w:rPr>
        <w:t xml:space="preserve">With the coming of age of utilitarism, there was the recognition that animals had the ability to feel pain. This recognition of animals as sentient beings formed the basis of their moral status. From the 1970's on, the question of animal status became relevant in line with the envolving of contemporary environmental philosophy as the second part reviews. Peter Singer in his seminal writing, Animal Liberation, pointed out that humans recognize the interest of each others by the ability of feeling pain. This concept could be applied to animals. Later development saw the recognition of animal rights, not just moral respect, as guaranteeing rights to animals: among others Tom Regan (subject-of-a-life) and Gary L. Francione (abolitionism). To counter these new concepts of animal rights and liberation, a number of commentators (e. g. Richard Posner, Carl Cohen) have called into the question whether animals should be placed on an equal footing with humans.</w:t>
      </w:r>
    </w:p>
    <w:p>
      <w:pPr>
        <w:widowControl w:val="on"/>
        <w:pBdr/>
        <w:spacing w:before="240" w:after="240" w:line="240" w:lineRule="auto"/>
        <w:ind w:left="0" w:right="0"/>
        <w:jc w:val="left"/>
      </w:pPr>
      <w:r>
        <w:rPr>
          <w:color w:val="000000"/>
          <w:sz w:val="24"/>
          <w:szCs w:val="24"/>
        </w:rPr>
        <w:t xml:space="preserve">I tried for showing in that ethics of anthropocentrism could not be able to determine the inner value nor establish a criteria which can be only extensible for humans.</w:t>
      </w:r>
    </w:p>
    <w:p>
      <w:pPr>
        <w:widowControl w:val="on"/>
        <w:pBdr/>
        <w:spacing w:before="240" w:after="240" w:line="240" w:lineRule="auto"/>
        <w:ind w:left="0" w:right="0"/>
        <w:jc w:val="left"/>
      </w:pPr>
      <w:r>
        <w:rPr>
          <w:color w:val="000000"/>
          <w:sz w:val="24"/>
          <w:szCs w:val="24"/>
        </w:rPr>
        <w:t xml:space="preserve">Keywords: moral status, anthropocentrism, ratio, utilitarianism, animal liberation, ability to feel pain, animal rights, subject-of-a-life, abolicionism, inner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78644">
    <w:multiLevelType w:val="hybridMultilevel"/>
    <w:lvl w:ilvl="0" w:tplc="55182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78644">
    <w:abstractNumId w:val="35378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884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