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BODÓNÉ HOFECKER ZSUZSANNA</w:t>
            </w:r>
          </w:p>
          <w:p w:rsidR="00C275A3" w:rsidRDefault="00A96AEC" w:rsidP="00C275A3">
            <w:pPr>
              <w:pStyle w:val="Hallgatokepzes"/>
            </w:pPr>
            <w:r>
              <w:t>Fordító és tolmács</w:t>
            </w:r>
            <w:r>
              <w:br/>
            </w:r>
            <w:r w:rsidR="00E77B23">
              <w:t>MA, 1.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Sutyák Tibor</w:t>
            </w:r>
          </w:p>
          <w:p w:rsidR="00DB4822" w:rsidRDefault="00DB4822" w:rsidP="00E11062">
            <w:pPr>
              <w:pStyle w:val="Konzulensek"/>
            </w:pPr>
            <w:r w:rsidRPr="00DB4822">
              <w:t>egyetemi docens, SZTE BTK</w:t>
            </w:r>
          </w:p>
        </w:tc>
      </w:tr>
      <w:tr w:rsidR="00DB4822" w:rsidTr="00DB4822">
        <w:tc>
          <w:tcPr>
            <w:tcW w:w="9854" w:type="dxa"/>
          </w:tcPr>
          <w:p w:rsidR="00DB4822" w:rsidRPr="00DB4822" w:rsidRDefault="00DB4822" w:rsidP="004D7940">
            <w:pPr>
              <w:pStyle w:val="Konzulensek"/>
            </w:pPr>
            <w:r w:rsidRPr="00DB4822">
              <w:t>Dr. Gyimesi Timea</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szövegértelmezésről. A dekonstrukció hermeneutikai olvasata és a hermeneutika dekonstrukciója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Bármit olvasunk, bármit teszünk, minden tevékenységünk során értelmezünk is, az értelmezés teljesen áthatja a létünket. Ezért szorító szükséglet kideríteni, hogyan kell értelmezni, már csak azért is, mert erre nemcsak egy út kínálkozik. Azonban itt egy regressziós problémába ütközünk: értelmezési stratégiákat vizsgálva szintén értelmezünk, nem kerülhetünk az értelmezés elé, e kérdés véglegesen sosem tisztázható.</w:t>
      </w:r>
    </w:p>
    <w:p>
      <w:pPr>
        <w:pBdr/>
        <w:spacing w:before="240" w:after="240" w:line="240" w:lineRule="auto"/>
        <w:ind w:left="0" w:right="0"/>
        <w:jc w:val="left"/>
      </w:pPr>
      <w:r>
        <w:rPr>
          <w:color w:val="000000"/>
          <w:sz w:val="24"/>
          <w:szCs w:val="24"/>
        </w:rPr>
        <w:t xml:space="preserve">E problémát nem feledve, sőt, ebből kiindulva – mivel a legjobb eljárás, ha legalább előre kinyilvánítjuk az értelmezési pozíciónkat – a dolgozat egy kísérletre vállalkozik, melyben két szembenálló értelmezéselméletet ütköztet meg egymással. Paul Ricoeurt követve két ellentétes vonulatot, a hit és a gyanú hermeneutikáját különítjük el az interpretációelméletek halmazában, majd a hit hermeneutikája egy elméletének, az egzisztenciális hermeneutikának a pozícióját vesszük fel, és ebből értelmezzük egy, a gyanú hermeneutikáján belüli teóriának, a dekonstrukciónak egy rövid szövegét, majd ezt az eljárást fordítva is elvégezzük. A perspektívaváltás talán előrébb vihet a probléma megoldásában. A két interpretált szöveg: Jacques Derrida: Éperons. Nietzsche stílusai és Hans-Georg Gadamer: Szöveg és interpretáció.</w:t>
      </w:r>
    </w:p>
    <w:p>
      <w:pPr>
        <w:pBdr/>
        <w:spacing w:before="240" w:after="240" w:line="240" w:lineRule="auto"/>
        <w:ind w:left="0" w:right="0"/>
        <w:jc w:val="left"/>
      </w:pPr>
      <w:r>
        <w:rPr>
          <w:color w:val="000000"/>
          <w:sz w:val="24"/>
          <w:szCs w:val="24"/>
        </w:rPr>
        <w:t xml:space="preserve">Az egzisztenciális hermeneutika az értelmezések során tarthatatlannak bizonyul. Egyrészt maga a bizalom számolja fel az elméletet, ha egy szembenálló értelmezéselméletre alkalmazzák: e hit maga után vonja az azonosulást az értelmezett fél nézeteivel, ami ez esetben azt eredményezi, hogy a jó hermeneuta szükségképpen dekonstruktőrré válik. Másrészt az egzisztenciális hermeneutika olyan elnyomott, elkendőzött előfeltevésekkel él (pl. a nevetséges létének tagadása), amelyek megkérdőjelezik az elmélet legitimitását.</w:t>
      </w:r>
    </w:p>
    <w:p>
      <w:pPr>
        <w:pBdr/>
        <w:spacing w:before="240" w:after="240" w:line="240" w:lineRule="auto"/>
        <w:ind w:left="0" w:right="0"/>
        <w:jc w:val="left"/>
      </w:pPr>
      <w:r>
        <w:rPr>
          <w:color w:val="000000"/>
          <w:sz w:val="24"/>
          <w:szCs w:val="24"/>
        </w:rPr>
        <w:t xml:space="preserve">Ugyanakkor a dekonstrukció sem tartható, főképp azért, mert általa nem érhető el semmilyen végső válasz és üzenet, mert azok mindig újból dekonstrukcióra szorulnak. Azonban kénytelenek vagyunk valamiképp élni, így minden egyes tettünk során fel kell adjuk a gyanakvás elvét, és cselekednünk kell valamilyen útmutatást és jelentést szem előtt tartva eközben.</w:t>
      </w:r>
    </w:p>
    <w:p>
      <w:pPr>
        <w:pBdr/>
        <w:spacing w:before="240" w:after="240" w:line="240" w:lineRule="auto"/>
        <w:ind w:left="0" w:right="0"/>
        <w:jc w:val="left"/>
      </w:pPr>
      <w:r>
        <w:rPr>
          <w:color w:val="000000"/>
          <w:sz w:val="24"/>
          <w:szCs w:val="24"/>
        </w:rPr>
        <w:t xml:space="preserve">A dekonstrukció a végsőkig racionális, de elzárkózik a gyakorlattól, a hermeneutikában csorba esik a ráción, de a gyakorlatban kiválóan alkalmazható. Mind a racionalitás, mind a gyakorlat elválaszthatatlan része az antropológiai feltételezettségnek, így választani köztük – és a két elmélet közt – nem lehet. A kísérlet inkonkluzív, de számos tanulsággal jár.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21806">
    <w:multiLevelType w:val="hybridMultilevel"/>
    <w:lvl w:ilvl="0" w:tplc="90791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21806">
    <w:abstractNumId w:val="49421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1339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