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BODÓNÉ HOFECKER</w:t>
            </w:r>
          </w:p>
          <w:p w:rsidR="00C275A3" w:rsidRDefault="00A96AEC" w:rsidP="00C275A3">
            <w:pPr>
              <w:pStyle w:val="Hallgatokepzes"/>
            </w:pPr>
            <w:r>
              <w:t>Translator and interpreter</w:t>
            </w:r>
            <w:r>
              <w:br/>
            </w:r>
            <w:r w:rsidR="00E77B23">
              <w:t>MA, 1.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Tibor Sutyák</w:t>
            </w:r>
          </w:p>
          <w:p w:rsidR="00DB4822" w:rsidRDefault="00DB4822" w:rsidP="00E11062">
            <w:pPr>
              <w:pStyle w:val="Konzulensek"/>
            </w:pPr>
            <w:r w:rsidRPr="00DB4822">
              <w:t>associate professor, SZTE BTK</w:t>
            </w:r>
          </w:p>
        </w:tc>
      </w:tr>
      <w:tr w:rsidR="00DB4822" w:rsidTr="00DB4822">
        <w:tc>
          <w:tcPr>
            <w:tcW w:w="9854" w:type="dxa"/>
          </w:tcPr>
          <w:p w:rsidR="00DB4822" w:rsidRPr="00DB4822" w:rsidRDefault="00DB4822" w:rsidP="004D7940">
            <w:pPr>
              <w:pStyle w:val="Konzulensek"/>
            </w:pPr>
            <w:r w:rsidRPr="00DB4822">
              <w:t>Dr. Timea Gyimesi</w:t>
            </w:r>
          </w:p>
          <w:p w:rsidR="00DB4822" w:rsidRDefault="00DB4822" w:rsidP="00E11062">
            <w:pPr>
              <w:pStyle w:val="Konzulensek"/>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Text interpretations. Hermeneutic lecture of deconstruction and deconstruction of hermeneutics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Interpretation is ineluctable in every moment of the human life thus the importance and necessity of making it clear how one is supposed to interpret cannot be denied. But here emerges a classic regression problem: clarifying this issue always involves interpretation so it is impossible to execute a plausible and final clarification of this subject.</w:t>
      </w:r>
    </w:p>
    <w:p>
      <w:pPr>
        <w:pBdr/>
        <w:spacing w:before="240" w:after="240" w:line="240" w:lineRule="auto"/>
        <w:ind w:left="0" w:right="0"/>
        <w:jc w:val="left"/>
      </w:pPr>
      <w:r>
        <w:rPr>
          <w:color w:val="000000"/>
          <w:sz w:val="24"/>
          <w:szCs w:val="24"/>
        </w:rPr>
        <w:t xml:space="preserve">Without forgetting these concerns, the paper attempts to deliver an experimental project by choosing two interpretation theories opposed one to another and making them confront. Following the definitions of Paul Ricœur about the two essential kinds of hermeneutics: hermeneutics of faith and hermeneutics of suspicion the two theories were selected from those two groups: existential hermeneutics from the first one, deconstruction from the other. After having presented the first theory, a text interpretation is given from that theory’s view whose interpreted text is one succinct paper of the other interpretation theory. Afterwards this proceeding is inverted. The interpreted texts: Jacques Derrida: Spurs: Nietzsche's Styles, and Hans-Georg Gadamer: Text and interpretation.</w:t>
      </w:r>
    </w:p>
    <w:p>
      <w:pPr>
        <w:pBdr/>
        <w:spacing w:before="240" w:after="240" w:line="240" w:lineRule="auto"/>
        <w:ind w:left="0" w:right="0"/>
        <w:jc w:val="left"/>
      </w:pPr>
      <w:r>
        <w:rPr>
          <w:color w:val="000000"/>
          <w:sz w:val="24"/>
          <w:szCs w:val="24"/>
        </w:rPr>
        <w:t xml:space="preserve">It is partially concluded twice that the position of existential hermeneutics is not tenable once because it liquidates itself when using faith principles towards a text of hermeneutics of suspicion since that implies identification to the interpreted text’s views. Twice because it contains such repressed presuppositions as for example the neglect of the existence of ridiculous which abolish the legitimacy of the theory.</w:t>
      </w:r>
    </w:p>
    <w:p>
      <w:pPr>
        <w:pBdr/>
        <w:spacing w:before="240" w:after="240" w:line="240" w:lineRule="auto"/>
        <w:ind w:left="0" w:right="0"/>
        <w:jc w:val="left"/>
      </w:pPr>
      <w:r>
        <w:rPr>
          <w:color w:val="000000"/>
          <w:sz w:val="24"/>
          <w:szCs w:val="24"/>
        </w:rPr>
        <w:t xml:space="preserve">However, the deconstruction turns out to be untenable as well but in another way. Mainly because in the deconstructive way of thinking one can never reach any final or even provisional answer to any question or problem as all kinds of answer contain some essential errors and therefore must be always re-deconstructed. But one must act in some way and they give up suspicion in every deed when keeping something in mind they comply with.</w:t>
      </w:r>
    </w:p>
    <w:p>
      <w:pPr>
        <w:pBdr/>
        <w:spacing w:before="240" w:after="240" w:line="240" w:lineRule="auto"/>
        <w:ind w:left="0" w:right="0"/>
        <w:jc w:val="left"/>
      </w:pPr>
      <w:r>
        <w:rPr>
          <w:color w:val="000000"/>
          <w:sz w:val="24"/>
          <w:szCs w:val="24"/>
        </w:rPr>
        <w:t xml:space="preserve">The deconstruction is utmost rational but stranger to the practice as such while the theory of the existential hermeneutics breaches the laws of reason but is excellent for life. Reason and practice, both are inherent parts of the human condition hence the decision between hermeneutics of faith and of suspicion cannot be made – both rationally and practically. The experiment is inconclusive but offers many lessons.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963130">
    <w:multiLevelType w:val="hybridMultilevel"/>
    <w:lvl w:ilvl="0" w:tplc="292134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963130">
    <w:abstractNumId w:val="689631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13141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