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MOLNÁR</w:t>
            </w:r>
          </w:p>
          <w:p w:rsidR="00C275A3" w:rsidRDefault="00A96AEC" w:rsidP="00C275A3">
            <w:pPr>
              <w:pStyle w:val="Hallgatokepzes"/>
            </w:pPr>
            <w:r>
              <w:t>Formation d'enseignant d'anglais et de francais</w:t>
            </w:r>
            <w:r>
              <w:br/>
            </w:r>
            <w:r w:rsidR="00E77B23">
              <w:t>MA, 1. semester</w:t>
            </w:r>
          </w:p>
          <w:p w:rsidR="00C265CE" w:rsidRPr="009E5FF1" w:rsidRDefault="00E77B23" w:rsidP="00C275A3">
            <w:pPr>
              <w:pStyle w:val="Hallgatokepzes"/>
              <w:rPr>
                <w:b/>
                <w:caps/>
              </w:rPr>
            </w:pPr>
            <w:r>
              <w:t>Université de Szeged</w:t>
            </w:r>
            <w:r w:rsidR="00C275A3">
              <w:br/>
            </w:r>
            <w:r w:rsidR="00DB4822">
              <w:t>Lettres modernes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Kovács</w:t>
            </w:r>
          </w:p>
          <w:p w:rsidR="00DB4822" w:rsidRDefault="00DB4822" w:rsidP="00E11062">
            <w:pPr>
              <w:pStyle w:val="Konzulensek"/>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 Roque-tól a Goncourt-okig: Watteau művészete irodalmi fogadtatásának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Notre but est de poursuivre les changements de la réception de l’un des plus grands peintres du rococo français, Antoine Watteau, l’inventeur du genre des « fêtes galantes ». C’est en étudiant les textes authentiques – écrits par les contemporains de Watteau, Denis Diderot et les frères Goncourt – que nous prétendons découvrir les valeurs de l’art du peintre les plus appréciées à différentes époques, comme par exemple la grâce, le naturel ou bien l’imagination. À la base des différences entre les acceptions de ces notions majeures, nous traitons également des oppositions qui entourent Watteau, dont la plus importante est celle entre l’opinion de Diderot qui a refusé l’art de Watteau (qu’il a trouvé maniéré), et l’opinion des biographes du peintre ainsi que celle des Goncourt un siècle plus tard (qui ont admiré l’art du peintre). Bien que seulement sur la base des textes, il soit impossible de trouver les raisons de ces changements du goût, ils nous aident toutefois, par la comparaison des différentes attitudes à l’égard de l’art de Watteau, à mieux comprendre les processus qui étaient susceptibles d’y conduire.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613511">
    <w:multiLevelType w:val="hybridMultilevel"/>
    <w:lvl w:ilvl="0" w:tplc="93861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613511">
    <w:abstractNumId w:val="886135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71128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