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HERING NOÉMI</w:t>
            </w:r>
          </w:p>
          <w:p w:rsidR="00C275A3" w:rsidRDefault="00A96AEC" w:rsidP="00C275A3">
            <w:pPr>
              <w:pStyle w:val="Hallgatokepzes"/>
            </w:pPr>
            <w:r>
              <w:t>Romanisztika - francia szakirány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Albert Sándor</w:t>
            </w:r>
          </w:p>
          <w:p w:rsidR="00DB4822" w:rsidRDefault="00DB4822" w:rsidP="00E11062">
            <w:pPr>
              <w:pStyle w:val="Konzulensek"/>
            </w:pPr>
            <w:r w:rsidRPr="00DB4822">
              <w:t>hab. 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Nyelvjátékok Jean Cocteau: Vásott kölykök c.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Jean Cocteau Vásott kölykök c. regényét elemzem.</w:t>
      </w:r>
      <w:r>
        <w:rPr>
          <w:color w:val="000000"/>
          <w:sz w:val="24"/>
          <w:szCs w:val="24"/>
        </w:rPr>
        <w:br/>
        <w:t xml:space="preserve">A bevezetésben röviden felvázolom Jean Cocteau ars poeticáját – kiemelve a nyelv, a kép, valamint a tisztaság fogalmát –, majd meghatározom a dolgozat célkitűzését. Eszerint a Vásott kölykök c. regény nyelvhasználatát, azon belül is a szereplők által használt nyelvet vizsgálom meg, Ludwig Wittgenstein nyelvfilozófiájának segítségével.</w:t>
      </w:r>
      <w:r>
        <w:rPr>
          <w:color w:val="000000"/>
          <w:sz w:val="24"/>
          <w:szCs w:val="24"/>
        </w:rPr>
        <w:br/>
        <w:t xml:space="preserve">Ezután a regény keletkezésének történetét, kritikai fogadtatását és az olvasóközönségre gyakorolt hatását ismertetem néhány mondatban.</w:t>
      </w:r>
      <w:r>
        <w:rPr>
          <w:color w:val="000000"/>
          <w:sz w:val="24"/>
          <w:szCs w:val="24"/>
        </w:rPr>
        <w:br/>
        <w:t xml:space="preserve">Ezt követően bemutatom, hogy az ars poetica egyik fontos tényezője – az alkotóban keresendő művészi tisztaság – miként befolyásolja a regényt mint műfajt, hogyan teszi markánsabbá, határozott vonásokat adva neki a drámából, illetve a film formanyelvéből kölcsönzött eszközök segítségével.</w:t>
      </w:r>
      <w:r>
        <w:rPr>
          <w:color w:val="000000"/>
          <w:sz w:val="24"/>
          <w:szCs w:val="24"/>
        </w:rPr>
        <w:br/>
        <w:t xml:space="preserve">Egy újabb fejezetben rátérek a szereplők által játszott nyelvjátékra, melyet a wittgenstein-i nyelvfilozófia alapján jellemzek. Rávilágítok arra, hogyan mutatkozik meg három különböző aspektusból ugyanaz a nyelvjáték, s ez hogyan képez a szereplők számára egy zárt, külön világot, amely semmilyen kapcsolatban nem áll a külvilággal. Ezután részleteiben is feltárom a nyelvjáték főbb jellemzőit, működését, valamint az egyes – meghatározott szereplőkhöz tartozó – szólamokat.</w:t>
      </w:r>
      <w:r>
        <w:rPr>
          <w:color w:val="000000"/>
          <w:sz w:val="24"/>
          <w:szCs w:val="24"/>
        </w:rPr>
        <w:br/>
        <w:t xml:space="preserve">Végül pedig feltárom azt a folyamatot, s ennek két fő okát – a főszereplők ellenállása a változással szemben, valamint világuk teljes elszigeteltsége –, amely a nyelvjátéknak és a mögötte húzódó életformának az összeomlásához vezetett.</w:t>
      </w:r>
      <w:r>
        <w:rPr>
          <w:color w:val="000000"/>
          <w:sz w:val="24"/>
          <w:szCs w:val="24"/>
        </w:rPr>
        <w:br/>
        <w:t xml:space="preserve">A befejezésben összefoglalom, a nyelvjátékok elemzése során miként igazolódott be Wittgenstein megfigyelése, hogy a nyelvjáték tulajdonképpen azonos az életformával, a mögötte húzódó valósággal, melyben jelentést kap.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61846">
    <w:multiLevelType w:val="hybridMultilevel"/>
    <w:lvl w:ilvl="0" w:tplc="67159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61846">
    <w:abstractNumId w:val="679618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491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