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HERING</w:t>
            </w:r>
          </w:p>
          <w:p w:rsidR="00C275A3" w:rsidRDefault="00A96AEC" w:rsidP="00C275A3">
            <w:pPr>
              <w:pStyle w:val="Hallgatokepzes"/>
            </w:pPr>
            <w:r>
              <w:t>Romance studies - French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Albert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Language-games in Jean Cocteau's novel, The Holy Terrors (Les Enfants Terribles)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will be analyzing Jean Cocteau’s novel, The Holy Terrors (Les Enfants Terribles).</w:t>
      </w:r>
      <w:r>
        <w:rPr>
          <w:color w:val="000000"/>
          <w:sz w:val="24"/>
          <w:szCs w:val="24"/>
        </w:rPr>
        <w:br/>
        <w:t xml:space="preserve">In the introduction, I will briefly outline Jean Cocteau’s ars poetica – by highlighting the definition of language, image and purity -, and then I will define the objective of my thesis. According to this, I will examine the use of language of the novel - especially the language used by the characters -, with the help of Ludwig Wittgenstein’s philosophy of language.</w:t>
      </w:r>
      <w:r>
        <w:rPr>
          <w:color w:val="000000"/>
          <w:sz w:val="24"/>
          <w:szCs w:val="24"/>
        </w:rPr>
        <w:br/>
        <w:t xml:space="preserve">Next, I will expound the history of the creation of the novel, its critical reception and its impact on its audience in a few sentences.</w:t>
      </w:r>
      <w:r>
        <w:rPr>
          <w:color w:val="000000"/>
          <w:sz w:val="24"/>
          <w:szCs w:val="24"/>
        </w:rPr>
        <w:br/>
        <w:t xml:space="preserve">After this I will show how one of the important factors of the ars poetica – the artistic purity in the creator – will affect the novel as a genre and make it stronger by giving it definitive traits with the help of tools borrowed from the drama and the cinematic arts.</w:t>
      </w:r>
      <w:r>
        <w:rPr>
          <w:color w:val="000000"/>
          <w:sz w:val="24"/>
          <w:szCs w:val="24"/>
        </w:rPr>
        <w:br/>
        <w:t xml:space="preserve">In another chapter I will turn to the language-game played by the characters which I will characterize by Wittgenstein’s philosophy of language. I will point out how the same game manifests itself in three different aspects, and how this forms a closed, separate world for the characters, which has no connection to the outside world. Then I will present in details the main features and the function of the language-game and the voices belonging to specific characters.</w:t>
      </w:r>
      <w:r>
        <w:rPr>
          <w:color w:val="000000"/>
          <w:sz w:val="24"/>
          <w:szCs w:val="24"/>
        </w:rPr>
        <w:br/>
        <w:t xml:space="preserve">Finally, I will describe the process and the main reasons – the resistance of the main characters against change and the total isolation of their world – that led to the collapse of the language-game and the form of life behind it.</w:t>
      </w:r>
      <w:r>
        <w:rPr>
          <w:color w:val="000000"/>
          <w:sz w:val="24"/>
          <w:szCs w:val="24"/>
        </w:rPr>
        <w:br/>
        <w:t xml:space="preserve">In the conclusion, I will summarize how Wittgenstein’s philosophy was confirmed by the analysis of the language-games and how the language-game is equal to what gives its meaning - the form of life and the reality behind 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43587">
    <w:multiLevelType w:val="hybridMultilevel"/>
    <w:lvl w:ilvl="0" w:tplc="92413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43587">
    <w:abstractNumId w:val="29343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23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