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NAGY</w:t>
            </w:r>
          </w:p>
          <w:p w:rsidR="00C275A3" w:rsidRDefault="00A96AEC" w:rsidP="00C275A3">
            <w:pPr>
              <w:pStyle w:val="Hallgatokepzes"/>
            </w:pPr>
            <w:r>
              <w:t>ethnology - religion research</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Klamár</w:t>
            </w:r>
          </w:p>
          <w:p w:rsidR="00DB4822" w:rsidRDefault="00DB4822" w:rsidP="00E11062">
            <w:pPr>
              <w:pStyle w:val="Konzulensek"/>
            </w:pPr>
            <w:r w:rsidRPr="00DB4822">
              <w:t>ethnographer-museologist,  Cathedral's Treasury and Diocesan Collection of Vác - Diocesan Museum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Practical and traditional items of the space usage in Gyula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about the local space usage was carried out in Gyula, in 2012. My aims were to determine the most commonly used local space objects, the role of urban areas, as well to explore the variety of the local knowledge related to them. The data suppliers were mainly high school and university students, as a result the majority of the informants were between the ages of 14-25. With those who were in their early twenties I took the advantage of making interviews, asking them to draw mental maps, while I had a questionnaire filled out with the students of a six-grade secondary school in Gyula. In both groups the mental maps and the symbols appearing on them were emphasized. By supplementing the information received with my knowledge about the local history I got to the following conclusion:</w:t>
      </w:r>
    </w:p>
    <w:p>
      <w:pPr>
        <w:widowControl w:val="on"/>
        <w:pBdr/>
        <w:spacing w:before="240" w:after="240" w:line="240" w:lineRule="auto"/>
        <w:ind w:left="0" w:right="0"/>
        <w:jc w:val="left"/>
      </w:pPr>
      <w:r>
        <w:rPr>
          <w:color w:val="000000"/>
          <w:sz w:val="24"/>
          <w:szCs w:val="24"/>
        </w:rPr>
        <w:br/>
        <w:t xml:space="preserve">Among the space users in Gyula both the visual objects and the names of the public spaces play important roles, some of which have sacred or ethnic connotations, others have profane and / or subjective aspects. Among the items of the space usage I managed to allocate such boundaries, junctions and symbolic buildings that are used by residents during the preparations of the mental maps. The various public institutions, and the stores / services play an important role in the space usage.</w:t>
      </w:r>
    </w:p>
    <w:p>
      <w:pPr>
        <w:widowControl w:val="on"/>
        <w:pBdr/>
        <w:spacing w:before="240" w:after="240" w:line="240" w:lineRule="auto"/>
        <w:ind w:left="0" w:right="0"/>
        <w:jc w:val="left"/>
      </w:pPr>
      <w:r>
        <w:rPr>
          <w:color w:val="000000"/>
          <w:sz w:val="24"/>
          <w:szCs w:val="24"/>
        </w:rPr>
        <w:br/>
        <w:t xml:space="preserve">In the space usage of the citizens of Gyula the various town parts, which are rich in attached local stereotypes, play an important role. I managed to gather data both about the ethnic and economic aspects of these. The individuals' stereotypical views of the town parts are influenced by their knowledge about and by their relationship with that area as well. It can be said that most of the informants see their own part of the town more positively than other areas of the city, and they have a richer knowledge about it.</w:t>
      </w:r>
    </w:p>
    <w:p>
      <w:pPr>
        <w:widowControl w:val="on"/>
        <w:pBdr/>
        <w:spacing w:before="240" w:after="240" w:line="240" w:lineRule="auto"/>
        <w:ind w:left="0" w:right="0"/>
        <w:jc w:val="left"/>
      </w:pPr>
      <w:r>
        <w:rPr>
          <w:color w:val="000000"/>
          <w:sz w:val="24"/>
          <w:szCs w:val="24"/>
        </w:rPr>
        <w:br/>
        <w:t xml:space="preserve">The data I gathered during the research gave me the opportunity to explore the local names that are different from the offical ones. Most of these are rooted in the local memory and some of them can be associated with the era before the change of the regime. These names are commonly used by the younger generation that was born after this change. In this case, these names can be seen as the proof for the collective memory, while the artificial explanations in connection with them show the transformation and the fading of that memory.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78732">
    <w:multiLevelType w:val="hybridMultilevel"/>
    <w:lvl w:ilvl="0" w:tplc="258738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78732">
    <w:abstractNumId w:val="181787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4024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