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SZŰCS BRIGITTA</w:t>
            </w:r>
          </w:p>
          <w:p w:rsidR="00C275A3" w:rsidRDefault="00A96AEC" w:rsidP="00C275A3">
            <w:pPr>
              <w:pStyle w:val="Hallgatokepzes"/>
            </w:pPr>
            <w:r>
              <w:t>Néprajz</w:t>
            </w:r>
            <w:r>
              <w:br/>
            </w:r>
            <w:r w:rsidR="00E77B23">
              <w:t>MA, 4.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 Gábor</w:t>
            </w:r>
          </w:p>
          <w:p w:rsidR="00DB4822" w:rsidRDefault="00DB4822" w:rsidP="00E11062">
            <w:pPr>
              <w:pStyle w:val="Konzulensek"/>
            </w:pPr>
            <w:r w:rsidRPr="00DB4822">
              <w:t>tanszékvezető,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Zöldág állítása Csíkszentgyörgyön és Csíkbánkfalván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Zöldág állítása Csíkszentgyörgyön és Csíkbánkfalván</w:t>
      </w: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t xml:space="preserve">Jelen dolgozatom két Hargita megyei falu népszokását tárgyalja, melynek során különböző jeles ünnepeken a falu népe fiatal fenyő, vagy nyírfát, azaz zöldágat állít fel meghatározott helyekre.</w:t>
      </w:r>
      <w:r>
        <w:rPr>
          <w:color w:val="000000"/>
          <w:sz w:val="24"/>
          <w:szCs w:val="24"/>
        </w:rPr>
        <w:br/>
        <w:t xml:space="preserve">Csíkszentgyörgy és Csíkbánkfalva székely népességű magyar falvak. Az alcsíki medence keleti oldalán találhatók, összenőtt belterületük van, amely a Csíki havasok lábánál fekszik. A két település tehát havasok, erdők közelében terül el, ennek köszönhetően bővelkedik fenyőfában és nyírfában egyaránt, így nem okoz gondot, ha például egy lakodalomra akár tizennégy fenyőfát vágnak ki, lakodalmi zöldágnak. Lakodalmon kívül számos más alkalomra is állítanak fiatal fákat, többek között templombúcsú, pünkösd, bérmálás, úrnapja, papszentelés, fiatalkorú temetése, ballagás, 30-40-50 éves kortárstalálkozó, és olykor-olykor a szüret ünnepein is.</w:t>
      </w:r>
      <w:r>
        <w:rPr>
          <w:color w:val="000000"/>
          <w:sz w:val="24"/>
          <w:szCs w:val="24"/>
        </w:rPr>
        <w:br/>
        <w:t xml:space="preserve">Tanulmányom azon kívül, hogy az utóbb leírt alkalmakon való zöldág-állítást leírja, egyben megkíséreli értelmezni és elemezni a zöldág-állítás szokását eme két székely faluban. A dolgozatban, ennek keretében kap hangsúlyos szerepet a zöldág-állítás, és magának a zöldág funkcióinak a vizsgálata, továbbá mindezeknek a változása napjainkban. Ezeknek a kutatási szempontok figyelembevételével jutottam azokra a megállapításokra, amelyek azt feltételezik, hogy a zöldág egy olyan archetipikus kép, amely szorosan kapcsolódik az átmeneti rítusokhoz és több funkciója létezik. Ennek értelmében a zöldág egyszerre birtokol mágikus-szakrális, művészi és nemzeti identitást kifejező szerepet. Továbbá, kijelenthető az, hogy napjainkra főként az utóbbi funkciók dominálnak, vagyis az esztétikai és a székely nemzeti azonosságtudatot kifejező szerepek.</w:t>
      </w:r>
      <w:r>
        <w:rPr>
          <w:color w:val="000000"/>
          <w:sz w:val="24"/>
          <w:szCs w:val="24"/>
        </w:rPr>
        <w:br/>
        <w:t xml:space="preserve">A zöldághoz kötődő szokások leírásán és elemzésén túl, gazadag képanyag is kapcsolódik a dolgozathoz, amelyek főleg az 1950-es évektől napjainkig kívánja illusztrálni a zöldágakat a csíkszentgyörgyi és csíkbánkfalvi ünnepeken.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28065">
    <w:multiLevelType w:val="hybridMultilevel"/>
    <w:lvl w:ilvl="0" w:tplc="79376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28065">
    <w:abstractNumId w:val="677280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74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