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Default Extension="jpg" ContentType="image/jp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BÍRÓ GYÖNGYVÉR</w:t>
            </w:r>
          </w:p>
          <w:p w:rsidR="00C275A3" w:rsidRDefault="00A96AEC" w:rsidP="00C275A3">
            <w:pPr>
              <w:pStyle w:val="Hallgatokepzes"/>
            </w:pPr>
            <w:r>
              <w:t>Régészet</w:t>
            </w:r>
            <w:r>
              <w:br/>
            </w:r>
            <w:r w:rsidR="00E77B23">
              <w:t>MA, 3. félév</w:t>
            </w:r>
          </w:p>
          <w:p w:rsidR="00C265CE" w:rsidRPr="009E5FF1" w:rsidRDefault="00E77B23" w:rsidP="00C275A3">
            <w:pPr>
              <w:pStyle w:val="Hallgatokepzes"/>
              <w:rPr>
                <w:b/>
                <w:caps/>
              </w:rPr>
            </w:pPr>
            <w:r>
              <w:t>Szegedi Tudományegyetem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Wolf Mária</w:t>
            </w:r>
          </w:p>
          <w:p w:rsidR="00DB4822" w:rsidRDefault="00DB4822" w:rsidP="00E11062">
            <w:pPr>
              <w:pStyle w:val="Konzulensek"/>
            </w:pPr>
            <w:r w:rsidRPr="00DB4822">
              <w:t>egyetemi docens, SZTE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Árpád-kori teleprészlet Jászfényszaru–Szőlők-alján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Jászfényszaru–Szőlők-alján 2007-ben Kertész Róbert vezetett megelőző feltárást, amelynek során egy nagykiterjedésű Árpád-kori település részlete látott napvilágot. A feltárást nagy felületen végezték, több mint 300 jelenséget tártak fel, és már a nagy mennyiségű leletanyag első szemrevételezésénél kiderült, hogy több olyan kerámiatípus, ill. díszítési forma is szerepel az anyagban, amelyek keltezési, tipológiai vitákat válthatnak ki. A fémanyag mennyisége elenyésző és ezek közül is kevés tárgy bír keltező értékkel, így az objektumok korának meghatározására a bőséges kerámiaanyag adhat lehetőséget. A feldolgozó munka még folyik, így most két házcsoport, és ezek leletanyaga került bemutatásra. A leletanyag régészeti datálása mellett fontos szerepet kaptak az objektumok között fennálló szuperpozíciók, és ezek térinformatikai kiértékelése. Utóbbiak alapján a feltárt településnek két Árpád-kori periódusa is volt, a korábbi a 11. sz. vége és a 12–13. sz. fordulója közötti időszakra, míg a későbbi a 12–13. sz. fordulójától a 13. sz. folyamára tehető. Érdekességet jelentett a belső peremdísz kései felbukkanása, ahogy a pecsétlő kerékkel készült minta jelenléte is. A két periódus kerámiaanyaga alapanyag összetétel szempontjából hasonló, de makroszkóposan és petrográfiailag jól elkülönült egymástól. A kerámiák égetési hőmérsékletének max. 800–850°C-ra becsült értéke ellentmond a korábbi, magas égetési hőmérsékletről szóló feltételezéseknek. A térinformatikai elemzés alapján őseink az Árpád-korban (is) lehetőség szerint a magasabb térszíneket részesítették előnyben. A tudatos területrendezésre utalnak a házsorok és a településen átfutó, utcaként azonosítható sáv, így a múlt század közepén meggyökeresedett, laza szerkezetű Árpád-kori falukép halványulni látszik. Kiemelendő ennek a feltárásnak a fontossága, mivel kevés Árpád-kori települést ismerünk, amelyet ilyen nagy felületen kutathattak az ásatók, ill. még kevesebb, amely ezek közül publikálásra került. A telep többrétegűsége még érdekesebbé teszi a Szőlők-alján feltárt lelőhelyet, így a feldolgozási munka folytatása nem csak időszerű és szükséges, de Árpád-kori településeink ismeretanyagához is fontos adatokkal járulhat hozzá. Mindezek miatt érdemes minél több nézőpontból, minél több módszerrel (történeti adatok, relatív kronológia, régészeti értelmezés, archeometria, térinformatika) vizsgálni az adott lelőhelyet és annak leletanyagát, hogy a lehető legtöbb információt gyűjtsük elődeink életéről.</w:t>
      </w:r>
    </w:p>
    <w:p>
      <w:pPr>
        <w:pBdr/>
        <w:spacing w:before="240" w:after="240" w:line="240" w:lineRule="auto"/>
        <w:ind w:left="1800" w:right="0"/>
        <w:jc w:val="left"/>
      </w:pPr>
      <w:r>
        <w:rPr>
          <w:color w:val="000000"/>
          <w:sz w:val="24"/>
          <w:szCs w:val="24"/>
        </w:rPr>
        <w:drawing>
          <wp:inline distT="0" distB="0" distL="0" distR="0">
            <wp:extent cx="1476000" cy="1641600"/>
            <wp:docPr id="4784201" name="name150e51b8968a64" descr="imgtmp_20078_hu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20078_hu_1.jpg"/>
                    <pic:cNvPicPr/>
                  </pic:nvPicPr>
                  <pic:blipFill>
                    <a:blip r:embed="rId150e51b8968a3d" cstate="print"/>
                    <a:stretch>
                      <a:fillRect/>
                    </a:stretch>
                  </pic:blipFill>
                  <pic:spPr>
                    <a:xfrm>
                      <a:off x="0" y="0"/>
                      <a:ext cx="1476000" cy="1641600"/>
                    </a:xfrm>
                    <a:prstGeom prst="rect">
                      <a:avLst/>
                    </a:prstGeom>
                    <a:ln w="0">
                      <a:noFill/>
                    </a:ln>
                  </pic:spPr>
                </pic:pic>
              </a:graphicData>
            </a:graphic>
          </wp:inline>
        </w:drawing>
      </w:r>
      <w:r>
        <w:rPr>
          <w:color w:val="000000"/>
          <w:sz w:val="24"/>
          <w:szCs w:val="24"/>
        </w:rPr>
        <w:drawing>
          <wp:inline distT="0" distB="0" distL="0" distR="0">
            <wp:extent cx="1627200" cy="1612800"/>
            <wp:docPr id="17327577" name="name150e51b896aef1" descr="imgtmp_20078_hu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20078_hu_2.jpg"/>
                    <pic:cNvPicPr/>
                  </pic:nvPicPr>
                  <pic:blipFill>
                    <a:blip r:embed="rId150e51b896aeb4" cstate="print"/>
                    <a:stretch>
                      <a:fillRect/>
                    </a:stretch>
                  </pic:blipFill>
                  <pic:spPr>
                    <a:xfrm>
                      <a:off x="0" y="0"/>
                      <a:ext cx="1627200" cy="1612800"/>
                    </a:xfrm>
                    <a:prstGeom prst="rect">
                      <a:avLst/>
                    </a:prstGeom>
                    <a:ln w="0">
                      <a:noFill/>
                    </a:ln>
                  </pic:spPr>
                </pic:pic>
              </a:graphicData>
            </a:graphic>
          </wp:inline>
        </w:drawing>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4181807">
    <w:multiLevelType w:val="hybridMultilevel"/>
    <w:lvl w:ilvl="0" w:tplc="8219453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4181807">
    <w:abstractNumId w:val="8418180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44366936" Type="http://schemas.openxmlformats.org/officeDocument/2006/relationships/numbering" Target="numbering.xml"/><Relationship Id="rId150e51b8968a3d" Type="http://schemas.openxmlformats.org/officeDocument/2006/relationships/image" Target="media/imgrId150e51b8968a3d.jpg"/><Relationship Id="rId150e51b896aeb4" Type="http://schemas.openxmlformats.org/officeDocument/2006/relationships/image" Target="media/imgrId150e51b896aeb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