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GYÖNGYVÉR BÍRÓ</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Wolf</w:t>
            </w:r>
          </w:p>
          <w:p w:rsidR="00DB4822" w:rsidRDefault="00DB4822" w:rsidP="00E11062">
            <w:pPr>
              <w:pStyle w:val="Konzulensek"/>
            </w:pPr>
            <w:r w:rsidRPr="00DB4822">
              <w:t>associate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Section of an Árpádian age settlement in Jászfényszaru-Szőlők-alja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antecedent excavation, led by Róbert Kertész in 2007 in Jászfényszaru-Szőlők-alja, revealed a fragment of an extensive settlement from the Árpádian age. The excavation was carried out on a huge surface, revealing more than 300 artifacts. This large number suggested already in the beginning that several types of ceramics and decorating methods are present in the findings that might trigger debates about dating and typology. Since the material of metals was evanescent and too few of them gave opportunity to determine the date, the ample amount of ceramics provided a chance to determine the age of the objects. The scientific processing is still in progress, however at the moment, two groups of houses and the artifacts found in them are being displayed. Besides dating the artifacts, the superpositions among objects and their evaluation through the GIS played very important roles. On the basis of the latter the settlement under excavation had indeed two separate periods from the the Árpádian age; between the end of the 11</w:t>
      </w:r>
      <w:r>
        <w:rPr>
          <w:color w:val="000000"/>
          <w:position w:val="4"/>
          <w:sz w:val="21"/>
          <w:szCs w:val="21"/>
          <w:vertAlign w:val="superscript"/>
        </w:rPr>
        <w:t xml:space="preserve">th</w:t>
      </w:r>
      <w:r>
        <w:rPr>
          <w:color w:val="000000"/>
          <w:sz w:val="24"/>
          <w:szCs w:val="24"/>
        </w:rPr>
        <w:t xml:space="preserve"> century and the turn of the 12</w:t>
      </w:r>
      <w:r>
        <w:rPr>
          <w:color w:val="000000"/>
          <w:position w:val="4"/>
          <w:sz w:val="21"/>
          <w:szCs w:val="21"/>
          <w:vertAlign w:val="superscript"/>
        </w:rPr>
        <w:t xml:space="preserve">th</w:t>
      </w:r>
      <w:r>
        <w:rPr>
          <w:color w:val="000000"/>
          <w:sz w:val="24"/>
          <w:szCs w:val="24"/>
        </w:rPr>
        <w:t xml:space="preserve"> and 13</w:t>
      </w:r>
      <w:r>
        <w:rPr>
          <w:color w:val="000000"/>
          <w:position w:val="4"/>
          <w:sz w:val="21"/>
          <w:szCs w:val="21"/>
          <w:vertAlign w:val="superscript"/>
        </w:rPr>
        <w:t xml:space="preserve">th</w:t>
      </w:r>
      <w:r>
        <w:rPr>
          <w:color w:val="000000"/>
          <w:sz w:val="24"/>
          <w:szCs w:val="24"/>
        </w:rPr>
        <w:t xml:space="preserve"> centuries, and later between the turn of the 12</w:t>
      </w:r>
      <w:r>
        <w:rPr>
          <w:color w:val="000000"/>
          <w:position w:val="4"/>
          <w:sz w:val="21"/>
          <w:szCs w:val="21"/>
          <w:vertAlign w:val="superscript"/>
        </w:rPr>
        <w:t xml:space="preserve">th</w:t>
      </w:r>
      <w:r>
        <w:rPr>
          <w:color w:val="000000"/>
          <w:sz w:val="24"/>
          <w:szCs w:val="24"/>
        </w:rPr>
        <w:t xml:space="preserve"> and 13</w:t>
      </w:r>
      <w:r>
        <w:rPr>
          <w:color w:val="000000"/>
          <w:position w:val="4"/>
          <w:sz w:val="21"/>
          <w:szCs w:val="21"/>
          <w:vertAlign w:val="superscript"/>
        </w:rPr>
        <w:t xml:space="preserve">th</w:t>
      </w:r>
      <w:r>
        <w:rPr>
          <w:color w:val="000000"/>
          <w:sz w:val="24"/>
          <w:szCs w:val="24"/>
        </w:rPr>
        <w:t xml:space="preserve"> centuries and the 13</w:t>
      </w:r>
      <w:r>
        <w:rPr>
          <w:color w:val="000000"/>
          <w:position w:val="4"/>
          <w:sz w:val="21"/>
          <w:szCs w:val="21"/>
          <w:vertAlign w:val="superscript"/>
        </w:rPr>
        <w:t xml:space="preserve">th</w:t>
      </w:r>
      <w:r>
        <w:rPr>
          <w:color w:val="000000"/>
          <w:sz w:val="24"/>
          <w:szCs w:val="24"/>
        </w:rPr>
        <w:t xml:space="preserve"> century. The decoration on the inner side of the mouth of the pots, and the patterns printed by a printing wheel (engraving decorations into the still soft clay) was a very remarkable decoration of that time. The ceramics of the two periods can be clearly distinguished macroscopically and petrographically. The sintering temperature of ceramics, valued around 800–850°C maximum, contradicts earlier assumptions about the higher sintering temperatures. According to the analysis of the GIS, our ancestors preferred to inhabit the surfaces of higher geographical formulations (also) during the Árpádian age. The row of houses and the lane running across the settlement, verified as a street, defines the conscious organization of space that fades the picture of the loosely placed houses in a village of Hungary during the Árpádian age, depicted in middle of the past century. The importance of this excavation is outstanding, because there are very few settlements from the the Árpádian age that provided such a large area of examination for the archeologists. The several stratums of the territory makes the archeological site more interesting, thus continuing the excavation is not only timely and needed, but also provides significant information to the knowledge about our settlements from the the Árpádian age.</w:t>
      </w:r>
    </w:p>
    <w:p>
      <w:pPr>
        <w:pBdr/>
        <w:spacing w:before="240" w:after="240" w:line="240" w:lineRule="auto"/>
        <w:ind w:left="1800" w:right="0"/>
        <w:jc w:val="left"/>
      </w:pPr>
      <w:r>
        <w:rPr>
          <w:color w:val="000000"/>
          <w:sz w:val="24"/>
          <w:szCs w:val="24"/>
        </w:rPr>
        <w:drawing>
          <wp:inline distT="0" distB="0" distL="0" distR="0">
            <wp:extent cx="1713600" cy="1908000"/>
            <wp:docPr id="63788915" name="name150e51b89be690" descr="imgtmp_20078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078_int_1.jpg"/>
                    <pic:cNvPicPr/>
                  </pic:nvPicPr>
                  <pic:blipFill>
                    <a:blip r:embed="rId150e51b89be653" cstate="print"/>
                    <a:stretch>
                      <a:fillRect/>
                    </a:stretch>
                  </pic:blipFill>
                  <pic:spPr>
                    <a:xfrm>
                      <a:off x="0" y="0"/>
                      <a:ext cx="1713600" cy="1908000"/>
                    </a:xfrm>
                    <a:prstGeom prst="rect">
                      <a:avLst/>
                    </a:prstGeom>
                    <a:ln w="0">
                      <a:noFill/>
                    </a:ln>
                  </pic:spPr>
                </pic:pic>
              </a:graphicData>
            </a:graphic>
          </wp:inline>
        </w:drawing>
      </w:r>
      <w:r>
        <w:rPr>
          <w:color w:val="000000"/>
          <w:sz w:val="24"/>
          <w:szCs w:val="24"/>
        </w:rPr>
        <w:drawing>
          <wp:inline distT="0" distB="0" distL="0" distR="0">
            <wp:extent cx="1936800" cy="1922400"/>
            <wp:docPr id="95426800" name="name150e51b89c09e9" descr="imgtmp_20078_in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078_int_2.jpg"/>
                    <pic:cNvPicPr/>
                  </pic:nvPicPr>
                  <pic:blipFill>
                    <a:blip r:embed="rId150e51b89c09aa" cstate="print"/>
                    <a:stretch>
                      <a:fillRect/>
                    </a:stretch>
                  </pic:blipFill>
                  <pic:spPr>
                    <a:xfrm>
                      <a:off x="0" y="0"/>
                      <a:ext cx="1936800" cy="1922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54138">
    <w:multiLevelType w:val="hybridMultilevel"/>
    <w:lvl w:ilvl="0" w:tplc="77960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54138">
    <w:abstractNumId w:val="91354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936891" Type="http://schemas.openxmlformats.org/officeDocument/2006/relationships/numbering" Target="numbering.xml"/><Relationship Id="rId150e51b89be653" Type="http://schemas.openxmlformats.org/officeDocument/2006/relationships/image" Target="media/imgrId150e51b89be653.jpg"/><Relationship Id="rId150e51b89c09aa" Type="http://schemas.openxmlformats.org/officeDocument/2006/relationships/image" Target="media/imgrId150e51b89c09a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