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ATTILA</w:t>
            </w:r>
          </w:p>
          <w:p w:rsidR="00C275A3" w:rsidRDefault="00A96AEC" w:rsidP="00C275A3">
            <w:pPr>
              <w:pStyle w:val="Hallgatokepzes"/>
            </w:pPr>
            <w:r>
              <w:t>Régészet</w:t>
            </w:r>
            <w:r>
              <w:br/>
            </w:r>
            <w:r w:rsidR="00E77B23">
              <w:t>BA, 5.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Révész László</w:t>
            </w:r>
          </w:p>
          <w:p w:rsidR="00DB4822" w:rsidRDefault="00DB4822" w:rsidP="00E11062">
            <w:pPr>
              <w:pStyle w:val="Konzulensek"/>
            </w:pPr>
            <w:r w:rsidRPr="00DB4822">
              <w:t>tanszékvezető,  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Kazár-tenger északi vidékét képezi a ġuzzīya pusztasága” A 10. századi oguz temetkezések régészeti vonatkozásai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Dolgozatunkban azt tűztük ki célul, hogy amennyire a téma szakirodalmi bázisa – ami alig negyedévszázados múltra tekinthet csak vissza – megengedi, átfogó képet rajzoljuk a Kaszpi-tenger északi partvidékén tömörülő X. századi oguz temetkezések régészeti vonatkozásairól. Az oroszföldi kutatás kurgánközpontú szemlélete miatt azonban témánk társadalomtörténeti vonatkozásban szükségszerűen korlátolt, így az csak az elit kurgántemetkezéseit taglalhatta, és nem érinthette az oguz köznép kérdését, amelynek régészeti hagyatéka egyelőre nincs meghatározva. Ezzel párhuzamosan a tárgyi anyag összehasonlító vizsgálata, valamint az oguz korszak régészeti emlékeinek belső kronológiája is kidolgozásra vár. A nehézségek ellenére a dolgozat elkészítését indokolta az a tény, hogy a választott téma a magyar nyelvű szakirodalomban előzmény nélküli. A besenyők és a kunok hazai régészeti anyaga steppei párhuzamainak vizsgálata mellett a késő nomád régészeti körhöz tartozó oguz emlékek vizsgálata nem kapott figyelmet. Pedig ennek a jól megragadható műveltségnek a kutatása nélkül nem lehet igazán értékelni sem a sarkel-belaja vežai nomád – oguz-besenyő – temető anyagát, sem az oguz és besenyő töredékekből szervezett, XII. századi „fekete süvegesek” emlékeit. Még szélesebb körű vizsgálati lehetőségeket biztosít azonban a téma kidolgozása a besenyők és kunok, valamint a Kaszpi északi térségében oguzok előtt élt népek temetkezéseinek vizsgálatához – különösen, ami az átfedéseket illeti.</w:t>
      </w:r>
    </w:p>
    <w:p>
      <w:pPr>
        <w:pBdr/>
        <w:spacing w:before="240" w:after="240" w:line="240" w:lineRule="auto"/>
        <w:ind w:left="0" w:right="0"/>
        <w:jc w:val="left"/>
      </w:pPr>
      <w:r>
        <w:rPr>
          <w:color w:val="000000"/>
          <w:sz w:val="24"/>
          <w:szCs w:val="24"/>
        </w:rPr>
        <w:t xml:space="preserve">A dolgozat a téma kutatásának története után a X. századi oguz szállásterület körvonalazza az írott kútfők és az oguznak minősített kurgántemetkezések elterjedése alapján, majd ezt követi az oguz elit tumulusai rítusának, annak jellemzőinek taglalása. A temetkezési szokások összefoglalását a kurgánok tárgyi anyagának a leltárja követi, az eddig megismert, egységes oguz régészeti anyagon belül két csoportra osztva – 1. csoport (nők és gyermekek temetkezései), 2. csoport (férfisírok). A tárgyi anyag vezértárgyai – mint oly sok esetben – itt is a női (és gyermek-) sírokból kerültek napvilágra (csepp-alakú, áttört csüngők, amulettek és madarat illetve madárszárnyat megjelenítő felvarrók, csüngők). A további emlékek használati eszközökben, ékszerekben és viseleti elemekben, fegyverekben, övgarnitúrákban valamint lószerszámokban és azok ékítményeiben öltenek testet. A tárgyak bemutatását és jellemzőinek leírását összegzés, a felhasznált szakirodalom listája és a vonatkozó mellékletek zárják.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69069">
    <w:multiLevelType w:val="hybridMultilevel"/>
    <w:lvl w:ilvl="0" w:tplc="77251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69069">
    <w:abstractNumId w:val="600690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6091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