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LIVIA BENITA KISS</w:t>
            </w:r>
          </w:p>
          <w:p w:rsidR="00C275A3" w:rsidRDefault="00A96AEC" w:rsidP="00C275A3">
            <w:pPr>
              <w:pStyle w:val="Hallgatokepzes"/>
            </w:pPr>
            <w:r>
              <w:t>Rural development agricultural engineer</w:t>
            </w:r>
            <w:r>
              <w:br/>
            </w:r>
            <w:r w:rsidR="00E77B23">
              <w:t>MSc, 4.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Toth</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Sun crowned it Zala hamlet - Dötk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sustainable development, the sustainability got into the forefront of the interest in our homeland in the latter period. Quite many disciplines deal with the topic. Anybody could ask the question that the financial-economic worldwide crisis, the socio-economic one are circumstances, in the shade of the towering global challenges whether how current and reasonable to deal with the sustainability, the sustainable development? During the rural local governments' financing troubles appears untimely quasi in our days to take the sustainability into consideration. The past years indicate that building upon the future is the safe basis of the development in overcoming the crises and difficulties well however. The validation of the sustainability may be in service as normative one in the seeking ways.</w:t>
      </w:r>
    </w:p>
    <w:p>
      <w:pPr>
        <w:pBdr/>
        <w:spacing w:before="240" w:after="240" w:line="240" w:lineRule="auto"/>
        <w:ind w:left="0" w:right="0"/>
        <w:jc w:val="left"/>
      </w:pPr>
      <w:r>
        <w:rPr>
          <w:color w:val="000000"/>
          <w:sz w:val="24"/>
          <w:szCs w:val="24"/>
        </w:rPr>
        <w:t xml:space="preserve">Who would believe it about Dötk, the little Zala one from 27 head sack settlements, that with several hidden and less hidden sights, waits for the tourists visiting onto the neighbourhood with sights? The tiny settlement brought a qualitative change into his slow life sentenced to extinction the Ecoregion Foundation's activity and the attractiveness that the Landscape Centre's programs mean.</w:t>
      </w:r>
    </w:p>
    <w:p>
      <w:pPr>
        <w:pBdr/>
        <w:spacing w:before="240" w:after="240" w:line="240" w:lineRule="auto"/>
        <w:ind w:left="0" w:right="0"/>
        <w:jc w:val="left"/>
      </w:pPr>
      <w:r>
        <w:rPr>
          <w:color w:val="000000"/>
          <w:sz w:val="24"/>
          <w:szCs w:val="24"/>
        </w:rPr>
        <w:t xml:space="preserve">Based on these unutilized potential opportunities in my work, I make an experiment supported with thorough research work a complex ökoturisztikai like that centre, onto the presentation of a program, that keeping the sustainability, sustainable development before an eye Dötk and it makes his environment the single citadel of öko-tourism with outstanding significance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46883">
    <w:multiLevelType w:val="hybridMultilevel"/>
    <w:lvl w:ilvl="0" w:tplc="70036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46883">
    <w:abstractNumId w:val="93546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777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