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BIHARI</w:t>
            </w:r>
          </w:p>
          <w:p w:rsidR="00C275A3" w:rsidRDefault="00A96AEC" w:rsidP="00C275A3">
            <w:pPr>
              <w:pStyle w:val="Hallgatokepzes"/>
            </w:pPr>
            <w:r>
              <w:t>Chemistry</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Buglyó </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Interaction of [Ru(η6-p-cymene)(H2O)3]2+ with 1-methyl-imidazole and N-Acetyl-histamine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my research work I studied the complex formation processes of half-sandwich, organometallic ruthenium(II) cation containing hexahapto bonded 1-methyl-4-isopropyl-benzene (p-cym) with 1-methyl-imidazole (MeIm) and N-Acetyl-histamine (AcHm). Three methods were used for determining the composition of the complexes and their stability constants: pH-potentiometry, </w:t>
      </w:r>
      <w:r>
        <w:rPr>
          <w:color w:val="000000"/>
          <w:position w:val="4"/>
          <w:sz w:val="21"/>
          <w:szCs w:val="21"/>
          <w:vertAlign w:val="superscript"/>
        </w:rPr>
        <w:t xml:space="preserve">1</w:t>
      </w:r>
      <w:r>
        <w:rPr>
          <w:color w:val="000000"/>
          <w:sz w:val="24"/>
          <w:szCs w:val="24"/>
        </w:rPr>
        <w:t xml:space="preserve">H NMR spectroscopy and ESI-TOF-MS spectrometry.</w:t>
      </w:r>
      <w:r>
        <w:rPr>
          <w:color w:val="000000"/>
          <w:sz w:val="24"/>
          <w:szCs w:val="24"/>
        </w:rPr>
        <w:br/>
        <w:t xml:space="preserve">The protonation constants of the ligands were determined by pH-potentiometry. The complex formation processes in the metal ion – ligand systems were also investigated, however, the slow reaction steps and the appearance of the inactive hydroxo complex in the acidic pH range prevented the characterization of the complex formation processes above pH 5. The usual waiting time during these titrations was 10-15 minutes but it was not enough to reach pH equilibrium. Due to these problems we used</w:t>
      </w:r>
      <w:r>
        <w:rPr>
          <w:color w:val="000000"/>
          <w:position w:val="4"/>
          <w:sz w:val="21"/>
          <w:szCs w:val="21"/>
          <w:vertAlign w:val="superscript"/>
        </w:rPr>
        <w:t xml:space="preserve"> 1</w:t>
      </w:r>
      <w:r>
        <w:rPr>
          <w:color w:val="000000"/>
          <w:sz w:val="24"/>
          <w:szCs w:val="24"/>
        </w:rPr>
        <w:t xml:space="preserve">H NMR spectroscopy for further investigations. The spectra of the ligands were registered and samples with 1:1 and 1:3 metal ion to ligand ratios were studied. For the metal ion containing systems signals belonging to the complexed species appeared (both of 1:1 and 1:2 ratios) beside the signals attributable to the aromatic ligand of the free metal ion and that of the model imidazole ligands. The amount of the complex changed with the increase of pH. For both peptides in the 1:3 metal ion to ligand systems the hydrolysis is hindered because of the presence of ligand excess. Further experiments were done by ESI-TOF-MS method. After the evaluation of the spectra for the 1:1 and 1:3 samples we concluded that a complex with ML(OH) composition is present above pH 12 in the [Ru(η</w:t>
      </w:r>
      <w:r>
        <w:rPr>
          <w:color w:val="000000"/>
          <w:position w:val="4"/>
          <w:sz w:val="21"/>
          <w:szCs w:val="21"/>
          <w:vertAlign w:val="superscript"/>
        </w:rPr>
        <w:t xml:space="preserve">6</w:t>
      </w:r>
      <w:r>
        <w:rPr>
          <w:color w:val="000000"/>
          <w:sz w:val="24"/>
          <w:szCs w:val="24"/>
        </w:rPr>
        <w:t xml:space="preserve">-p-cymene)(H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 MeIm system. Other complexes were also detected in the metal ion containing systems with ML, ML</w:t>
      </w:r>
      <w:r>
        <w:rPr>
          <w:color w:val="000000"/>
          <w:position w:val="-4"/>
          <w:sz w:val="21"/>
          <w:szCs w:val="21"/>
          <w:vertAlign w:val="subscript"/>
        </w:rPr>
        <w:t xml:space="preserve">2</w:t>
      </w:r>
      <w:r>
        <w:rPr>
          <w:color w:val="000000"/>
          <w:sz w:val="24"/>
          <w:szCs w:val="24"/>
        </w:rPr>
        <w:t xml:space="preserve">, ML</w:t>
      </w:r>
      <w:r>
        <w:rPr>
          <w:color w:val="000000"/>
          <w:position w:val="-4"/>
          <w:sz w:val="21"/>
          <w:szCs w:val="21"/>
          <w:vertAlign w:val="subscript"/>
        </w:rPr>
        <w:t xml:space="preserve">2</w:t>
      </w:r>
      <w:r>
        <w:rPr>
          <w:color w:val="000000"/>
          <w:sz w:val="24"/>
          <w:szCs w:val="24"/>
        </w:rPr>
        <w:t xml:space="preserve">(OH) compositions and a ML</w:t>
      </w:r>
      <w:r>
        <w:rPr>
          <w:color w:val="000000"/>
          <w:position w:val="-4"/>
          <w:sz w:val="21"/>
          <w:szCs w:val="21"/>
          <w:vertAlign w:val="subscript"/>
        </w:rPr>
        <w:t xml:space="preserve">3</w:t>
      </w:r>
      <w:r>
        <w:rPr>
          <w:color w:val="000000"/>
          <w:sz w:val="24"/>
          <w:szCs w:val="24"/>
        </w:rPr>
        <w:t xml:space="preserve"> species with small intensity. Above pH 5 the formation of a trihydroxo bridged [{Ru(η</w:t>
      </w:r>
      <w:r>
        <w:rPr>
          <w:color w:val="000000"/>
          <w:position w:val="4"/>
          <w:sz w:val="21"/>
          <w:szCs w:val="21"/>
          <w:vertAlign w:val="superscript"/>
        </w:rPr>
        <w:t xml:space="preserve">6</w:t>
      </w:r>
      <w:r>
        <w:rPr>
          <w:color w:val="000000"/>
          <w:sz w:val="24"/>
          <w:szCs w:val="24"/>
        </w:rPr>
        <w:t xml:space="preserve">-p-cymene)}</w:t>
      </w:r>
      <w:r>
        <w:rPr>
          <w:color w:val="000000"/>
          <w:position w:val="-4"/>
          <w:sz w:val="21"/>
          <w:szCs w:val="21"/>
          <w:vertAlign w:val="subscript"/>
        </w:rPr>
        <w:t xml:space="preserve">2</w:t>
      </w:r>
      <w:r>
        <w:rPr>
          <w:color w:val="000000"/>
          <w:sz w:val="24"/>
          <w:szCs w:val="24"/>
        </w:rPr>
        <w:t xml:space="preserve">(μ</w:t>
      </w:r>
      <w:r>
        <w:rPr>
          <w:color w:val="000000"/>
          <w:position w:val="4"/>
          <w:sz w:val="21"/>
          <w:szCs w:val="21"/>
          <w:vertAlign w:val="superscript"/>
        </w:rPr>
        <w:t xml:space="preserve">2</w:t>
      </w:r>
      <w:r>
        <w:rPr>
          <w:color w:val="000000"/>
          <w:sz w:val="24"/>
          <w:szCs w:val="24"/>
        </w:rPr>
        <w:t xml:space="preserve">-OH)</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w:t>
      </w:r>
      <w:r>
        <w:rPr>
          <w:color w:val="000000"/>
          <w:sz w:val="24"/>
          <w:szCs w:val="24"/>
        </w:rPr>
        <w:t xml:space="preserve"> complex was also proved for both of the ligands. For clarifying the compositions of the other species in solution further NMR spectroscopic and ESI-TOF-MS investigations are planned. We are also planning the solid phase peptide synthesis of short oligopeptides containing histidines at various positions in the chain and afterwards we would like to study their [Ru(η</w:t>
      </w:r>
      <w:r>
        <w:rPr>
          <w:color w:val="000000"/>
          <w:position w:val="4"/>
          <w:sz w:val="21"/>
          <w:szCs w:val="21"/>
          <w:vertAlign w:val="superscript"/>
        </w:rPr>
        <w:t xml:space="preserve">6</w:t>
      </w:r>
      <w:r>
        <w:rPr>
          <w:color w:val="000000"/>
          <w:sz w:val="24"/>
          <w:szCs w:val="24"/>
        </w:rPr>
        <w:t xml:space="preserve">-p-cymene)(H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binding capabilities in order to determine the compositions, stability constants and solution structures of the complexes formed.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37578">
    <w:multiLevelType w:val="hybridMultilevel"/>
    <w:lvl w:ilvl="0" w:tplc="31917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37578">
    <w:abstractNumId w:val="50037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2494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