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GIZELLA CSIRE</w:t>
            </w:r>
          </w:p>
          <w:p w:rsidR="00C275A3" w:rsidRDefault="00A96AEC" w:rsidP="00C275A3">
            <w:pPr>
              <w:pStyle w:val="Hallgatokepzes"/>
            </w:pPr>
            <w:r>
              <w:t>Chemistry</w:t>
            </w:r>
            <w:r>
              <w:br/>
            </w:r>
            <w:r w:rsidR="00E77B23">
              <w:t>MSc, 2.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redox properties and SOD activity of Cu(II)-bis(imidazolyl) derivatives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case of simple bis(imidazolyl) derivatives the coordination of the metal ion occurs through 2 or 4 imidazole nitrogen donoratoms. The complex that is formed in the Cu:His-BIMA system at 3:2 metal ion / ligand ratio contains an imidazolato brige. Complexes with bis(imidazolyl) type of coordination and the complex: [Cu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–4</w:t>
      </w:r>
      <w:r>
        <w:rPr>
          <w:color w:val="000000"/>
          <w:sz w:val="24"/>
          <w:szCs w:val="24"/>
        </w:rPr>
        <w:t xml:space="preserve">] that is formed in the Cu(II):His-BIMA system are very similar to the active centre of Cu,Zn-superoxide dismutase enzyme as in the native enzyme Cu(II) and Zn(II) are connected through an imidazolato bridge. Thus the Cu(II) complexes of the simple bis(imidazolyl) derivatives can be good structural models of the enzyme.</w:t>
      </w:r>
    </w:p>
    <w:p>
      <w:pPr>
        <w:pBdr/>
        <w:spacing w:before="240" w:after="240" w:line="240" w:lineRule="auto"/>
        <w:ind w:left="0" w:right="0"/>
        <w:jc w:val="left"/>
      </w:pPr>
      <w:r>
        <w:rPr>
          <w:color w:val="000000"/>
          <w:sz w:val="24"/>
          <w:szCs w:val="24"/>
        </w:rPr>
        <w:t xml:space="preserve">Our aim was to check the deprotonation constants and the precise concentration of BIMA, His-BIMA and β-Ala-BIMA, to determine the redox parameters of some Cu(II) complexes and to measure the SOD activity of a complex.</w:t>
      </w:r>
    </w:p>
    <w:p>
      <w:pPr>
        <w:pBdr/>
        <w:spacing w:before="240" w:after="240" w:line="240" w:lineRule="auto"/>
        <w:ind w:left="0" w:right="0"/>
        <w:jc w:val="left"/>
      </w:pPr>
      <w:r>
        <w:rPr>
          <w:color w:val="000000"/>
          <w:sz w:val="24"/>
          <w:szCs w:val="24"/>
        </w:rPr>
        <w:t xml:space="preserve">Based on the cyclic voltammetric studies we concluded that the formal reduction potential values of the complexes containing bis(imidazolyl) coordination are similar to each other and close to zero. The process is a one-electron quasi reversible redox process during which the Cu(II) is reduced to Cu(I). The formal reduction potential values show that the complexes formed with Cu(II) ion are more stable than the complexes formed with Cu(I) ion.</w:t>
      </w:r>
    </w:p>
    <w:p>
      <w:pPr>
        <w:pBdr/>
        <w:spacing w:before="240" w:after="240" w:line="240" w:lineRule="auto"/>
        <w:ind w:left="0" w:right="0"/>
        <w:jc w:val="left"/>
      </w:pPr>
      <w:r>
        <w:rPr>
          <w:color w:val="000000"/>
          <w:sz w:val="24"/>
          <w:szCs w:val="24"/>
        </w:rPr>
        <w:t xml:space="preserve">The redox parameters of the imidazolato bridged complex – that is formed in the Cu:His-BIMA system at 3:2 metal ion / ligand ratio – could not be determined by cyclic voltammetry. However, we could measure the SOD activity of this complex. Its SOD activity is bigger than that of the previously determined Cu(II)-peptide complexes but compared to the native enzyme it is still one order of magnitude lower. These results reflect that the complex can be a good structural model of the SOD enzyme.</w:t>
      </w:r>
    </w:p>
    <w:p>
      <w:pPr>
        <w:pBdr/>
        <w:spacing w:before="240" w:after="240" w:line="240" w:lineRule="auto"/>
        <w:ind w:left="0" w:right="0"/>
        <w:jc w:val="left"/>
      </w:pPr>
      <w:r>
        <w:rPr>
          <w:color w:val="000000"/>
          <w:sz w:val="24"/>
          <w:szCs w:val="24"/>
        </w:rPr>
        <w:t xml:space="preserve">This work was supported by TÁMOP-4.2.2/B-10/-1-2010-0024.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43072">
    <w:multiLevelType w:val="hybridMultilevel"/>
    <w:lvl w:ilvl="0" w:tplc="5180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43072">
    <w:abstractNumId w:val="39443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319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