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HÜSE DÁNIEL</w:t>
            </w:r>
          </w:p>
          <w:p w:rsidR="00C275A3" w:rsidRDefault="00A96AEC" w:rsidP="00C275A3">
            <w:pPr>
              <w:pStyle w:val="Hallgatokepzes"/>
            </w:pPr>
            <w:r>
              <w:t>vegyészmérnök</w:t>
            </w:r>
            <w:r>
              <w:br/>
            </w:r>
            <w:r w:rsidR="00E77B23">
              <w:t>BSc, 7.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Buglyó Péter</w:t>
            </w:r>
          </w:p>
          <w:p w:rsidR="00DB4822" w:rsidRDefault="00DB4822" w:rsidP="00E11062">
            <w:pPr>
              <w:pStyle w:val="Konzulensek"/>
            </w:pPr>
            <w:r w:rsidRPr="00DB4822">
              <w:t>egyetemi docens,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[Ru(η6-p-cimol)(H2O)3]2+ kölcsönhatása hidroxi-karbonsavakkal és kéntartalmú analógjaikkal</w:t>
      </w:r>
    </w:p>
    <w:p w:rsidR="00D71DF5" w:rsidRDefault="00D71DF5" w:rsidP="00AD2602">
      <w:pPr>
        <w:jc w:val="both"/>
      </w:pPr>
    </w:p>
    <w:p>
      <w:pPr>
        <w:pBdr/>
        <w:spacing w:before="240" w:after="240" w:line="240" w:lineRule="auto"/>
        <w:ind w:left="0" w:right="0"/>
        <w:jc w:val="left"/>
      </w:pPr>
      <w:r>
        <w:rPr>
          <w:color w:val="000000"/>
          <w:sz w:val="24"/>
          <w:szCs w:val="24"/>
        </w:rPr>
        <w:t xml:space="preserve">A daganatos megbetegedések kezelésére alkalmazott gyógyszerek között fontos területet jelenthetnek az átmenetifém komplexek alkalmazásai, ezek közül egyes Ru(III) vegyületek már a klinikai kipróbálás II. fázisában vannak. Újabb kutatások keretében fémorganikus Ru(II) komplexeket vizsgálnak, melyekben a fémionhoz (N,N), (O,N) vagy (O,O) donoratomú ligandum koordinálódik. A közelmúltban több tanulmány is arról számolt be, hogy az (O,O) donoratomú ligandum egyik oxigénjét kénre cserélve, az előállított félszendvics ruténium(II) komplex rákos sejtekre kifejtett sejtszaporodást gátló hatása lényegesen megnő az oxigén tartalmú analóghoz képest.</w:t>
      </w:r>
    </w:p>
    <w:p>
      <w:pPr>
        <w:pBdr/>
        <w:spacing w:before="240" w:after="240" w:line="240" w:lineRule="auto"/>
        <w:ind w:left="0" w:right="0"/>
        <w:jc w:val="left"/>
      </w:pPr>
      <w:r>
        <w:rPr>
          <w:color w:val="000000"/>
          <w:sz w:val="24"/>
          <w:szCs w:val="24"/>
        </w:rPr>
        <w:t xml:space="preserve">Másrészt ezek a vegyületek a szervezetbe bejutva számos oxigén vagy kéndonor biomolekulával léphetnek kölcsönhatásba. Ezen okoknál fogva fontos területet jelent ilyen típusú kismolekulák és a fémorganikus ruténium(II) vegyületek kölcsönhatásának vizsgálata.</w:t>
      </w:r>
    </w:p>
    <w:p>
      <w:pPr>
        <w:pBdr/>
        <w:spacing w:before="240" w:after="240" w:line="240" w:lineRule="auto"/>
        <w:ind w:left="0" w:right="0"/>
        <w:jc w:val="left"/>
      </w:pPr>
      <w:r>
        <w:rPr>
          <w:color w:val="000000"/>
          <w:sz w:val="24"/>
          <w:szCs w:val="24"/>
        </w:rPr>
        <w:t xml:space="preserve">Ezért munkám során a potenciálisan rákellenes hatású ruténium(II) komplexek disszociációja során képződő [Ru(</w:t>
      </w:r>
      <w:r>
        <w:rPr>
          <w:color w:val="000000"/>
          <w:position w:val="-3"/>
          <w:sz w:val="24"/>
          <w:szCs w:val="24"/>
        </w:rPr>
        <w:drawing>
          <wp:inline distT="0" distB="0" distL="0" distR="0">
            <wp:extent cx="115200" cy="100800"/>
            <wp:docPr id="41056142" name="name150bc79a162076" descr="20135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5_1.gif"/>
                    <pic:cNvPicPr/>
                  </pic:nvPicPr>
                  <pic:blipFill>
                    <a:blip r:embed="rId150bc79a162039" cstate="print"/>
                    <a:stretch>
                      <a:fillRect/>
                    </a:stretch>
                  </pic:blipFill>
                  <pic:spPr>
                    <a:xfrm>
                      <a:off x="0" y="0"/>
                      <a:ext cx="115200" cy="100800"/>
                    </a:xfrm>
                    <a:prstGeom prst="rect">
                      <a:avLst/>
                    </a:prstGeom>
                    <a:ln w="0">
                      <a:noFill/>
                    </a:ln>
                  </pic:spPr>
                </pic:pic>
              </a:graphicData>
            </a:graphic>
          </wp:inline>
        </w:drawing>
      </w:r>
      <w:r>
        <w:rPr>
          <w:color w:val="000000"/>
          <w:position w:val="4"/>
          <w:sz w:val="21"/>
          <w:szCs w:val="21"/>
          <w:vertAlign w:val="superscript"/>
        </w:rPr>
        <w:t xml:space="preserve">6</w:t>
      </w:r>
      <w:r>
        <w:rPr>
          <w:color w:val="000000"/>
          <w:sz w:val="24"/>
          <w:szCs w:val="24"/>
        </w:rPr>
        <w:t xml:space="preserve">-p-cimol)(H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kölcsönhatását vizsgáltam (O,O) donor hidroxi-karbonsavakkal (L-almasav, L-borkősav) és (O,S) donor merkapto-karbonsavakkal (DL-tiotejsav, DL-tioalmasav, mezo-2,3-dimerkapto-borostyánkősav).</w:t>
      </w:r>
    </w:p>
    <w:p>
      <w:pPr>
        <w:pBdr/>
        <w:spacing w:before="240" w:after="240" w:line="240" w:lineRule="auto"/>
        <w:ind w:left="0" w:right="0"/>
        <w:jc w:val="left"/>
      </w:pPr>
      <w:r>
        <w:rPr>
          <w:color w:val="000000"/>
          <w:sz w:val="24"/>
          <w:szCs w:val="24"/>
        </w:rPr>
        <w:t xml:space="preserve">Eredményeink alapján a hidroxi-karbonsavak közül a laktáttal képződő (COO</w:t>
      </w:r>
      <w:r>
        <w:rPr>
          <w:color w:val="000000"/>
          <w:position w:val="4"/>
          <w:sz w:val="21"/>
          <w:szCs w:val="21"/>
          <w:vertAlign w:val="superscript"/>
        </w:rPr>
        <w:t xml:space="preserve">−</w:t>
      </w:r>
      <w:r>
        <w:rPr>
          <w:color w:val="000000"/>
          <w:sz w:val="24"/>
          <w:szCs w:val="24"/>
        </w:rPr>
        <w:t xml:space="preserve">,O</w:t>
      </w:r>
      <w:r>
        <w:rPr>
          <w:color w:val="000000"/>
          <w:position w:val="4"/>
          <w:sz w:val="21"/>
          <w:szCs w:val="21"/>
          <w:vertAlign w:val="superscript"/>
        </w:rPr>
        <w:t xml:space="preserve">−</w:t>
      </w:r>
      <w:r>
        <w:rPr>
          <w:color w:val="000000"/>
          <w:sz w:val="24"/>
          <w:szCs w:val="24"/>
        </w:rPr>
        <w:t xml:space="preserve">) kötésmód nem bizonyult stabilnak, viszont a plusz egy karboxilcsoporttal rendelkező ligandumok (citrát-, malát-, tartarátion) fiziológiás pH-án is képesek megkötni a fémiont (COO</w:t>
      </w:r>
      <w:r>
        <w:rPr>
          <w:color w:val="000000"/>
          <w:position w:val="4"/>
          <w:sz w:val="21"/>
          <w:szCs w:val="21"/>
          <w:vertAlign w:val="superscript"/>
        </w:rPr>
        <w:t xml:space="preserve">−</w:t>
      </w:r>
      <w:r>
        <w:rPr>
          <w:color w:val="000000"/>
          <w:sz w:val="24"/>
          <w:szCs w:val="24"/>
        </w:rPr>
        <w:t xml:space="preserve">,COO</w:t>
      </w:r>
      <w:r>
        <w:rPr>
          <w:color w:val="000000"/>
          <w:position w:val="4"/>
          <w:sz w:val="21"/>
          <w:szCs w:val="21"/>
          <w:vertAlign w:val="superscript"/>
        </w:rPr>
        <w:t xml:space="preserve">−</w:t>
      </w:r>
      <w:r>
        <w:rPr>
          <w:color w:val="000000"/>
          <w:sz w:val="24"/>
          <w:szCs w:val="24"/>
        </w:rPr>
        <w:t xml:space="preserve">,O</w:t>
      </w:r>
      <w:r>
        <w:rPr>
          <w:color w:val="000000"/>
          <w:position w:val="4"/>
          <w:sz w:val="21"/>
          <w:szCs w:val="21"/>
          <w:vertAlign w:val="superscript"/>
        </w:rPr>
        <w:t xml:space="preserve">−</w:t>
      </w:r>
      <w:r>
        <w:rPr>
          <w:color w:val="000000"/>
          <w:sz w:val="24"/>
          <w:szCs w:val="24"/>
        </w:rPr>
        <w:t xml:space="preserve">) koordinációval. Továbbá azt is megállapítottuk, hogy a tartarátionnal lúgos közegben is stabil komplexek képződnek, amit a további hidroxilcsoport jelenlétével és a koordinációban való részvételével magyarázhatunk.</w:t>
      </w:r>
    </w:p>
    <w:p>
      <w:pPr>
        <w:pBdr/>
        <w:spacing w:before="240" w:after="240" w:line="240" w:lineRule="auto"/>
        <w:ind w:left="0" w:right="0"/>
        <w:jc w:val="left"/>
      </w:pPr>
      <w:r>
        <w:rPr>
          <w:color w:val="000000"/>
          <w:sz w:val="24"/>
          <w:szCs w:val="24"/>
        </w:rPr>
        <w:t xml:space="preserve">A merkapto-karbonsavak közül már a tiotejsav is rendkívül stabilan képes megkötni a Ru(II)iont lényegében a 0,75 &lt; pH &lt; 12,6 tartományban, valószínűleg egy [Ru</w:t>
      </w:r>
      <w:r>
        <w:rPr>
          <w:color w:val="000000"/>
          <w:position w:val="-4"/>
          <w:sz w:val="21"/>
          <w:szCs w:val="21"/>
          <w:vertAlign w:val="subscript"/>
        </w:rPr>
        <w:t xml:space="preserve">2</w:t>
      </w:r>
      <w:r>
        <w:rPr>
          <w:color w:val="000000"/>
          <w:sz w:val="24"/>
          <w:szCs w:val="24"/>
        </w:rPr>
        <w:t xml:space="preserve">L</w:t>
      </w:r>
      <w:r>
        <w:rPr>
          <w:color w:val="000000"/>
          <w:position w:val="-4"/>
          <w:sz w:val="21"/>
          <w:szCs w:val="21"/>
          <w:vertAlign w:val="subscript"/>
        </w:rPr>
        <w:t xml:space="preserve">2</w:t>
      </w:r>
      <w:r>
        <w:rPr>
          <w:color w:val="000000"/>
          <w:sz w:val="24"/>
          <w:szCs w:val="24"/>
        </w:rPr>
        <w:t xml:space="preserve">] összetételű komplex keletkezése közben. A fémion – tiomalát és −2,3-dimerkapto-szukcinát rendszerekben az oldategyensúlyi vizsgálatok csapadékképződés miatt nem vezettek eredményre. Viszont a szilárd fázisú vizsgálatok során a [Ru(</w:t>
      </w:r>
      <w:r>
        <w:rPr>
          <w:color w:val="000000"/>
          <w:position w:val="-3"/>
          <w:sz w:val="24"/>
          <w:szCs w:val="24"/>
        </w:rPr>
        <w:drawing>
          <wp:inline distT="0" distB="0" distL="0" distR="0">
            <wp:extent cx="115200" cy="100800"/>
            <wp:docPr id="54857435" name="name150bc79a162f51" descr="20135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5_2.gif"/>
                    <pic:cNvPicPr/>
                  </pic:nvPicPr>
                  <pic:blipFill>
                    <a:blip r:embed="rId150bc79a162f14" cstate="print"/>
                    <a:stretch>
                      <a:fillRect/>
                    </a:stretch>
                  </pic:blipFill>
                  <pic:spPr>
                    <a:xfrm>
                      <a:off x="0" y="0"/>
                      <a:ext cx="115200" cy="100800"/>
                    </a:xfrm>
                    <a:prstGeom prst="rect">
                      <a:avLst/>
                    </a:prstGeom>
                    <a:ln w="0">
                      <a:noFill/>
                    </a:ln>
                  </pic:spPr>
                </pic:pic>
              </a:graphicData>
            </a:graphic>
          </wp:inline>
        </w:drawing>
      </w:r>
      <w:r>
        <w:rPr>
          <w:color w:val="000000"/>
          <w:position w:val="4"/>
          <w:sz w:val="21"/>
          <w:szCs w:val="21"/>
          <w:vertAlign w:val="superscript"/>
        </w:rPr>
        <w:t xml:space="preserve">6</w:t>
      </w:r>
      <w:r>
        <w:rPr>
          <w:color w:val="000000"/>
          <w:sz w:val="24"/>
          <w:szCs w:val="24"/>
        </w:rPr>
        <w:t xml:space="preserve">-p-cimol)Cl</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 és a tioalmasav reakciójában képződő dimer komplexből sikerült egykristályt növeszteni és szerkezetét röntgendiffrakciós módszerrel meghatározni. A molekulában egy-egy tiomalátion (COO</w:t>
      </w:r>
      <w:r>
        <w:rPr>
          <w:color w:val="000000"/>
          <w:position w:val="4"/>
          <w:sz w:val="21"/>
          <w:szCs w:val="21"/>
          <w:vertAlign w:val="superscript"/>
        </w:rPr>
        <w:t xml:space="preserve">−</w:t>
      </w:r>
      <w:r>
        <w:rPr>
          <w:color w:val="000000"/>
          <w:sz w:val="24"/>
          <w:szCs w:val="24"/>
        </w:rPr>
        <w:t xml:space="preserve">,S</w:t>
      </w:r>
      <w:r>
        <w:rPr>
          <w:color w:val="000000"/>
          <w:position w:val="4"/>
          <w:sz w:val="21"/>
          <w:szCs w:val="21"/>
          <w:vertAlign w:val="superscript"/>
        </w:rPr>
        <w:t xml:space="preserve">−</w:t>
      </w:r>
      <w:r>
        <w:rPr>
          <w:color w:val="000000"/>
          <w:sz w:val="24"/>
          <w:szCs w:val="24"/>
        </w:rPr>
        <w:t xml:space="preserve">) koordinációval kötődik egy-egy fémionhoz és a két egységet a tiolátcsoportok kötik össze egy négytagú planáris Ru-S-Ru-S gyűrűt képezve.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04961">
    <w:multiLevelType w:val="hybridMultilevel"/>
    <w:lvl w:ilvl="0" w:tplc="82503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04961">
    <w:abstractNumId w:val="932049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176744" Type="http://schemas.openxmlformats.org/officeDocument/2006/relationships/numbering" Target="numbering.xml"/><Relationship Id="rId150bc79a162039" Type="http://schemas.openxmlformats.org/officeDocument/2006/relationships/image" Target="media/imgrId150bc79a162039.gif"/><Relationship Id="rId150bc79a162f14" Type="http://schemas.openxmlformats.org/officeDocument/2006/relationships/image" Target="media/imgrId150bc79a162f1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