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HÜSE</w:t>
            </w:r>
          </w:p>
          <w:p w:rsidR="00C275A3" w:rsidRDefault="00A96AEC" w:rsidP="00C275A3">
            <w:pPr>
              <w:pStyle w:val="Hallgatokepzes"/>
            </w:pPr>
            <w:r>
              <w:t>chemical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Buglyó</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Interaction of [Ru(η6-p-cymol)(H2O)3]2+ with hydroxycarboxylic acids and their sulphur containing analogues</w:t>
      </w:r>
    </w:p>
    <w:p w:rsidR="00D71DF5" w:rsidRDefault="00D71DF5" w:rsidP="00AD2602">
      <w:pPr>
        <w:jc w:val="both"/>
      </w:pPr>
    </w:p>
    <w:p>
      <w:pPr>
        <w:pBdr/>
        <w:spacing w:before="240" w:after="240" w:line="240" w:lineRule="auto"/>
        <w:ind w:left="0" w:right="0"/>
        <w:jc w:val="left"/>
      </w:pPr>
      <w:r>
        <w:rPr>
          <w:color w:val="000000"/>
          <w:sz w:val="24"/>
          <w:szCs w:val="24"/>
        </w:rPr>
        <w:t xml:space="preserve">Application of transition metal complexes for the effective treatment of cancer can be a main area. Some Ru(III) compounds are already in phase II clinical trials. Organometallic ruthenium(II) complexes, in which (N,N), (O,N) or (O,O) donor ligands coordinate to the metal ion, are also involved in new researches. Very recently it was discovered that by changing one oxygen to sulphur in a (O,O) donor ligand, the antiproliferative activity of the half-sandwich ruthenium(II) complex which is formed increases significantly, compared to that of the oxygen containing analogue.</w:t>
      </w:r>
    </w:p>
    <w:p>
      <w:pPr>
        <w:pBdr/>
        <w:spacing w:before="240" w:after="240" w:line="240" w:lineRule="auto"/>
        <w:ind w:left="0" w:right="0"/>
        <w:jc w:val="left"/>
      </w:pPr>
      <w:r>
        <w:rPr>
          <w:color w:val="000000"/>
          <w:sz w:val="24"/>
          <w:szCs w:val="24"/>
        </w:rPr>
        <w:t xml:space="preserve">On the other side, when administered these compounds, they may interact with several biomolecules containing oxygen and sulphur donor atoms. For these reasons, investigation of the interaction between organometallic ruthenium(II) compounds and such type of ligands is an important area of these researches.</w:t>
      </w:r>
    </w:p>
    <w:p>
      <w:pPr>
        <w:pBdr/>
        <w:spacing w:before="240" w:after="240" w:line="240" w:lineRule="auto"/>
        <w:ind w:left="0" w:right="0"/>
        <w:jc w:val="left"/>
      </w:pPr>
      <w:r>
        <w:rPr>
          <w:color w:val="000000"/>
          <w:sz w:val="24"/>
          <w:szCs w:val="24"/>
        </w:rPr>
        <w:t xml:space="preserve">Therefore, I studied the interaction between [Ru(</w:t>
      </w:r>
      <w:r>
        <w:rPr>
          <w:color w:val="000000"/>
          <w:position w:val="-3"/>
          <w:sz w:val="24"/>
          <w:szCs w:val="24"/>
        </w:rPr>
        <w:drawing>
          <wp:inline distT="0" distB="0" distL="0" distR="0">
            <wp:extent cx="115200" cy="100800"/>
            <wp:docPr id="66948749" name="name150bc79a1a2bef" descr="20135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5_1.gif"/>
                    <pic:cNvPicPr/>
                  </pic:nvPicPr>
                  <pic:blipFill>
                    <a:blip r:embed="rId150bc79a1a2bb1" cstate="print"/>
                    <a:stretch>
                      <a:fillRect/>
                    </a:stretch>
                  </pic:blipFill>
                  <pic:spPr>
                    <a:xfrm>
                      <a:off x="0" y="0"/>
                      <a:ext cx="115200" cy="100800"/>
                    </a:xfrm>
                    <a:prstGeom prst="rect">
                      <a:avLst/>
                    </a:prstGeom>
                    <a:ln w="0">
                      <a:noFill/>
                    </a:ln>
                  </pic:spPr>
                </pic:pic>
              </a:graphicData>
            </a:graphic>
          </wp:inline>
        </w:drawing>
      </w:r>
      <w:r>
        <w:rPr>
          <w:color w:val="000000"/>
          <w:position w:val="4"/>
          <w:sz w:val="21"/>
          <w:szCs w:val="21"/>
          <w:vertAlign w:val="superscript"/>
        </w:rPr>
        <w:t xml:space="preserve">6</w:t>
      </w:r>
      <w:r>
        <w:rPr>
          <w:color w:val="000000"/>
          <w:sz w:val="24"/>
          <w:szCs w:val="24"/>
        </w:rPr>
        <w:t xml:space="preserve">-p-cymol)(H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formed during the dissociation of potentially anticancer compounds and (O,O) donor hydroxycarboxylic acids (L-malic acid, L-tartaric acid) or the (O,S) donor mercaptocarboxylic acids (DL-thiolactic acid, DL-thiomalic acid, meso-2,3-dimercaptosuccinic acid).</w:t>
      </w:r>
    </w:p>
    <w:p>
      <w:pPr>
        <w:pBdr/>
        <w:spacing w:before="240" w:after="240" w:line="240" w:lineRule="auto"/>
        <w:ind w:left="0" w:right="0"/>
        <w:jc w:val="left"/>
      </w:pPr>
      <w:r>
        <w:rPr>
          <w:color w:val="000000"/>
          <w:sz w:val="24"/>
          <w:szCs w:val="24"/>
        </w:rPr>
        <w:t xml:space="preserve">Based on our results, for hydroxycarboxylic acids, (COO</w:t>
      </w:r>
      <w:r>
        <w:rPr>
          <w:color w:val="000000"/>
          <w:position w:val="4"/>
          <w:sz w:val="21"/>
          <w:szCs w:val="21"/>
          <w:vertAlign w:val="superscript"/>
        </w:rPr>
        <w:t xml:space="preserve">−</w:t>
      </w:r>
      <w:r>
        <w:rPr>
          <w:color w:val="000000"/>
          <w:sz w:val="24"/>
          <w:szCs w:val="24"/>
        </w:rPr>
        <w:t xml:space="preserve">,O</w:t>
      </w:r>
      <w:r>
        <w:rPr>
          <w:color w:val="000000"/>
          <w:position w:val="4"/>
          <w:sz w:val="21"/>
          <w:szCs w:val="21"/>
          <w:vertAlign w:val="superscript"/>
        </w:rPr>
        <w:t xml:space="preserve">−</w:t>
      </w:r>
      <w:r>
        <w:rPr>
          <w:color w:val="000000"/>
          <w:sz w:val="24"/>
          <w:szCs w:val="24"/>
        </w:rPr>
        <w:t xml:space="preserve">) binding mode, formed with the lactate, was not stable, but the ligands containing one further carboxylate group (citrate-, malate-, tartarate ion), can bind the metal ion via (COO</w:t>
      </w:r>
      <w:r>
        <w:rPr>
          <w:color w:val="000000"/>
          <w:position w:val="4"/>
          <w:sz w:val="21"/>
          <w:szCs w:val="21"/>
          <w:vertAlign w:val="superscript"/>
        </w:rPr>
        <w:t xml:space="preserve">−</w:t>
      </w:r>
      <w:r>
        <w:rPr>
          <w:color w:val="000000"/>
          <w:sz w:val="24"/>
          <w:szCs w:val="24"/>
        </w:rPr>
        <w:t xml:space="preserve">,COO</w:t>
      </w:r>
      <w:r>
        <w:rPr>
          <w:color w:val="000000"/>
          <w:position w:val="4"/>
          <w:sz w:val="21"/>
          <w:szCs w:val="21"/>
          <w:vertAlign w:val="superscript"/>
        </w:rPr>
        <w:t xml:space="preserve">−</w:t>
      </w:r>
      <w:r>
        <w:rPr>
          <w:color w:val="000000"/>
          <w:sz w:val="24"/>
          <w:szCs w:val="24"/>
        </w:rPr>
        <w:t xml:space="preserve">,O</w:t>
      </w:r>
      <w:r>
        <w:rPr>
          <w:color w:val="000000"/>
          <w:position w:val="4"/>
          <w:sz w:val="21"/>
          <w:szCs w:val="21"/>
          <w:vertAlign w:val="superscript"/>
        </w:rPr>
        <w:t xml:space="preserve">−</w:t>
      </w:r>
      <w:r>
        <w:rPr>
          <w:color w:val="000000"/>
          <w:sz w:val="24"/>
          <w:szCs w:val="24"/>
        </w:rPr>
        <w:t xml:space="preserve">) coordination mode at physiological pH. Furthermore, the tartarato complexes are stable at basic conditions, which can be explained by the presence of an additional hydroxyl group and its participation in coordination.</w:t>
      </w:r>
    </w:p>
    <w:p>
      <w:pPr>
        <w:pBdr/>
        <w:spacing w:before="240" w:after="240" w:line="240" w:lineRule="auto"/>
        <w:ind w:left="0" w:right="0"/>
        <w:jc w:val="left"/>
      </w:pPr>
      <w:r>
        <w:rPr>
          <w:color w:val="000000"/>
          <w:sz w:val="24"/>
          <w:szCs w:val="24"/>
        </w:rPr>
        <w:t xml:space="preserve">For the mercaptocarboxylic acids the thiolactate ion can bind very strongly to the Ru(II) ion, in the 0.75 – 12.6 pH range, with the likely formation of a [Ru</w:t>
      </w:r>
      <w:r>
        <w:rPr>
          <w:color w:val="000000"/>
          <w:position w:val="-4"/>
          <w:sz w:val="21"/>
          <w:szCs w:val="21"/>
          <w:vertAlign w:val="subscript"/>
        </w:rPr>
        <w:t xml:space="preserve">2</w:t>
      </w:r>
      <w:r>
        <w:rPr>
          <w:color w:val="000000"/>
          <w:sz w:val="24"/>
          <w:szCs w:val="24"/>
        </w:rPr>
        <w:t xml:space="preserve">L</w:t>
      </w:r>
      <w:r>
        <w:rPr>
          <w:color w:val="000000"/>
          <w:position w:val="-4"/>
          <w:sz w:val="21"/>
          <w:szCs w:val="21"/>
          <w:vertAlign w:val="subscript"/>
        </w:rPr>
        <w:t xml:space="preserve">2</w:t>
      </w:r>
      <w:r>
        <w:rPr>
          <w:color w:val="000000"/>
          <w:sz w:val="24"/>
          <w:szCs w:val="24"/>
        </w:rPr>
        <w:t xml:space="preserve">] type complex. The solution studies could not be evaluated in the metal ion – thiomalate and –2,3-dimercaptosuccinate systems because precipitation formed. However, a single crystal could be grown from the dimeric complex, formed in the reaction of [Ru(</w:t>
      </w:r>
      <w:r>
        <w:rPr>
          <w:color w:val="000000"/>
          <w:position w:val="-3"/>
          <w:sz w:val="24"/>
          <w:szCs w:val="24"/>
        </w:rPr>
        <w:drawing>
          <wp:inline distT="0" distB="0" distL="0" distR="0">
            <wp:extent cx="115200" cy="100800"/>
            <wp:docPr id="99294434" name="name150bc79a1a3919" descr="20135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5_2.gif"/>
                    <pic:cNvPicPr/>
                  </pic:nvPicPr>
                  <pic:blipFill>
                    <a:blip r:embed="rId150bc79a1a38dc" cstate="print"/>
                    <a:stretch>
                      <a:fillRect/>
                    </a:stretch>
                  </pic:blipFill>
                  <pic:spPr>
                    <a:xfrm>
                      <a:off x="0" y="0"/>
                      <a:ext cx="115200" cy="100800"/>
                    </a:xfrm>
                    <a:prstGeom prst="rect">
                      <a:avLst/>
                    </a:prstGeom>
                    <a:ln w="0">
                      <a:noFill/>
                    </a:ln>
                  </pic:spPr>
                </pic:pic>
              </a:graphicData>
            </a:graphic>
          </wp:inline>
        </w:drawing>
      </w:r>
      <w:r>
        <w:rPr>
          <w:color w:val="000000"/>
          <w:position w:val="4"/>
          <w:sz w:val="21"/>
          <w:szCs w:val="21"/>
          <w:vertAlign w:val="superscript"/>
        </w:rPr>
        <w:t xml:space="preserve">6</w:t>
      </w:r>
      <w:r>
        <w:rPr>
          <w:color w:val="000000"/>
          <w:sz w:val="24"/>
          <w:szCs w:val="24"/>
        </w:rPr>
        <w:t xml:space="preserve">-p-cymol)Cl</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bscript"/>
        </w:rPr>
        <w:t xml:space="preserve">2</w:t>
      </w:r>
      <w:r>
        <w:rPr>
          <w:color w:val="000000"/>
          <w:sz w:val="24"/>
          <w:szCs w:val="24"/>
        </w:rPr>
        <w:t xml:space="preserve"> and thiomalic acid, and the structure of this complex was determined by X-ray diffraction method. In the dinuclear compound, each thiomalate ion coordinate to one of the metal ions with (COO</w:t>
      </w:r>
      <w:r>
        <w:rPr>
          <w:color w:val="000000"/>
          <w:position w:val="4"/>
          <w:sz w:val="21"/>
          <w:szCs w:val="21"/>
          <w:vertAlign w:val="superscript"/>
        </w:rPr>
        <w:t xml:space="preserve">–</w:t>
      </w:r>
      <w:r>
        <w:rPr>
          <w:color w:val="000000"/>
          <w:sz w:val="24"/>
          <w:szCs w:val="24"/>
        </w:rPr>
        <w:t xml:space="preserve">,S</w:t>
      </w:r>
      <w:r>
        <w:rPr>
          <w:color w:val="000000"/>
          <w:position w:val="4"/>
          <w:sz w:val="21"/>
          <w:szCs w:val="21"/>
          <w:vertAlign w:val="superscript"/>
        </w:rPr>
        <w:t xml:space="preserve">–</w:t>
      </w:r>
      <w:r>
        <w:rPr>
          <w:color w:val="000000"/>
          <w:sz w:val="24"/>
          <w:szCs w:val="24"/>
        </w:rPr>
        <w:t xml:space="preserve">) binding mode and the two units are linked by the thiolate groups resulting in a planar four-membered Ru-S-Ru-S 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38708">
    <w:multiLevelType w:val="hybridMultilevel"/>
    <w:lvl w:ilvl="0" w:tplc="95893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38708">
    <w:abstractNumId w:val="725387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7101848" Type="http://schemas.openxmlformats.org/officeDocument/2006/relationships/numbering" Target="numbering.xml"/><Relationship Id="rId150bc79a1a2bb1" Type="http://schemas.openxmlformats.org/officeDocument/2006/relationships/image" Target="media/imgrId150bc79a1a2bb1.gif"/><Relationship Id="rId150bc79a1a38dc" Type="http://schemas.openxmlformats.org/officeDocument/2006/relationships/image" Target="media/imgrId150bc79a1a38dc.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