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HÜSE DÁNIEL</w:t>
            </w:r>
          </w:p>
          <w:p w:rsidR="00C275A3" w:rsidRDefault="00A96AEC" w:rsidP="00C275A3">
            <w:pPr>
              <w:pStyle w:val="Hallgatokepzes"/>
            </w:pPr>
            <w:r>
              <w:t>vegyészmérnök</w:t>
            </w:r>
            <w:r>
              <w:br/>
            </w:r>
            <w:r w:rsidR="00E77B23">
              <w:t>BSc, 7.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Buglyó Péter</w:t>
            </w:r>
          </w:p>
          <w:p w:rsidR="00DB4822" w:rsidRDefault="00DB4822" w:rsidP="00E11062">
            <w:pPr>
              <w:pStyle w:val="Konzulensek"/>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[Ru(η6-p-cimol)(H2O)3]2+ kölcsönhatása hidroxi-karbonsavakkal és kéntartalmú analógjaikkal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daganatos megbetegedések kezelésére alkalmazott gyógyszerek között fontos területet jelenthetnek az átmenetifém komplexek alkalmazásai, ezek közül egyes Ru(III) vegyületek már a klinikai kipróbálás II. fázisában vannak. Újabb kutatások keretében fémorganikus Ru(II) komplexeket vizsgálnak, melyekben a fémionhoz (N,N), (O,N) vagy (O,O) donoratomú ligandum koordinálódik. A közelmúltban több tanulmány is arról számolt be, hogy az (O,O) donoratomú ligandum egyik oxigénjét kénre cserélve, az előállított félszendvics ruténium(II) komplex rákos sejtekre kifejtett sejtszaporodást gátló hatása lényegesen megnő az oxigén tartalmú analóghoz képest.</w:t>
      </w:r>
    </w:p>
    <w:p>
      <w:pPr>
        <w:pBdr/>
        <w:spacing w:before="240" w:after="240" w:line="240" w:lineRule="auto"/>
        <w:ind w:left="0" w:right="0"/>
        <w:jc w:val="left"/>
      </w:pPr>
      <w:r>
        <w:rPr>
          <w:color w:val="000000"/>
          <w:sz w:val="24"/>
          <w:szCs w:val="24"/>
        </w:rPr>
        <w:t xml:space="preserve">Másrészt ezek a vegyületek a szervezetbe bejutva számos oxigén vagy kéndonor biomolekulával léphetnek kölcsönhatásba. Ezen okoknál fogva fontos területet jelent ilyen típusú kismolekulák és a fémorganikus ruténium(II) vegyületek kölcsönhatásának vizsgálata.</w:t>
      </w:r>
    </w:p>
    <w:p>
      <w:pPr>
        <w:pBdr/>
        <w:spacing w:before="240" w:after="240" w:line="240" w:lineRule="auto"/>
        <w:ind w:left="0" w:right="0"/>
        <w:jc w:val="left"/>
      </w:pPr>
      <w:r>
        <w:rPr>
          <w:color w:val="000000"/>
          <w:sz w:val="24"/>
          <w:szCs w:val="24"/>
        </w:rPr>
        <w:t xml:space="preserve">Ezért munkám során a potenciálisan rákellenes hatású ruténium(II) komplexek disszociációja során képződő [Ru(</w:t>
      </w:r>
      <w:r>
        <w:rPr>
          <w:color w:val="000000"/>
          <w:position w:val="-3"/>
          <w:sz w:val="24"/>
          <w:szCs w:val="24"/>
        </w:rPr>
        <w:drawing>
          <wp:inline distT="0" distB="0" distL="0" distR="0">
            <wp:extent cx="115200" cy="100800"/>
            <wp:docPr id="39286660" name="name150c0201344b48" descr="imgtmp_20135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135_hu_1.gif"/>
                    <pic:cNvPicPr/>
                  </pic:nvPicPr>
                  <pic:blipFill>
                    <a:blip r:embed="rId150c0201344b0a"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-p-cimol)(H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kölcsönhatását vizsgáltam (O,O) donor hidroxi-karbonsavakkal (L-almasav, L-borkősav) és (O,S) donor merkapto-karbonsavakkal (DL-tiotejsav, DL-tioalmasav, mezo-2,3-dimerkapto-borostyánkősav).</w:t>
      </w:r>
    </w:p>
    <w:p>
      <w:pPr>
        <w:pBdr/>
        <w:spacing w:before="240" w:after="240" w:line="240" w:lineRule="auto"/>
        <w:ind w:left="0" w:right="0"/>
        <w:jc w:val="left"/>
      </w:pPr>
      <w:r>
        <w:rPr>
          <w:color w:val="000000"/>
          <w:sz w:val="24"/>
          <w:szCs w:val="24"/>
        </w:rPr>
        <w:t xml:space="preserve">Eredményeink alapján a hidroxi-karbonsavak közül a laktáttal képződő (COO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kötésmód nem bizonyult stabilnak, viszont a plusz egy karboxilcsoporttal rendelkező ligandumok (citrát-, malát-, tartarátion) fiziológiás pH-án is képesek megkötni a fémiont (COO</w:t>
      </w:r>
      <w:r>
        <w:rPr>
          <w:color w:val="000000"/>
          <w:position w:val="4"/>
          <w:sz w:val="21"/>
          <w:szCs w:val="21"/>
          <w:vertAlign w:val="superscript"/>
        </w:rPr>
        <w:t xml:space="preserve">−</w:t>
      </w:r>
      <w:r>
        <w:rPr>
          <w:color w:val="000000"/>
          <w:sz w:val="24"/>
          <w:szCs w:val="24"/>
        </w:rPr>
        <w:t xml:space="preserve">,COO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koordinációval. Továbbá azt is megállapítottuk, hogy a tartarátionnal lúgos közegben is stabil komplexek képződnek, amit a további hidroxilcsoport jelenlétével és a koordinációban való részvételével magyarázhatunk.</w:t>
      </w:r>
    </w:p>
    <w:p>
      <w:pPr>
        <w:pBdr/>
        <w:spacing w:before="240" w:after="240" w:line="240" w:lineRule="auto"/>
        <w:ind w:left="0" w:right="0"/>
        <w:jc w:val="left"/>
      </w:pPr>
      <w:r>
        <w:rPr>
          <w:color w:val="000000"/>
          <w:sz w:val="24"/>
          <w:szCs w:val="24"/>
        </w:rPr>
        <w:t xml:space="preserve">A merkapto-karbonsavak közül már a tiotejsav is rendkívül stabilan képes megkötni a Ru(II)iont lényegében a 0,75 &lt; pH &lt; 12,6 tartományban, valószínűleg egy [Ru</w:t>
      </w:r>
      <w:r>
        <w:rPr>
          <w:color w:val="000000"/>
          <w:position w:val="-4"/>
          <w:sz w:val="21"/>
          <w:szCs w:val="21"/>
          <w:vertAlign w:val="subscript"/>
        </w:rPr>
        <w:t xml:space="preserve">2</w:t>
      </w:r>
      <w:r>
        <w:rPr>
          <w:color w:val="000000"/>
          <w:sz w:val="24"/>
          <w:szCs w:val="24"/>
        </w:rPr>
        <w:t xml:space="preserve">L</w:t>
      </w:r>
      <w:r>
        <w:rPr>
          <w:color w:val="000000"/>
          <w:position w:val="-4"/>
          <w:sz w:val="21"/>
          <w:szCs w:val="21"/>
          <w:vertAlign w:val="subscript"/>
        </w:rPr>
        <w:t xml:space="preserve">2</w:t>
      </w:r>
      <w:r>
        <w:rPr>
          <w:color w:val="000000"/>
          <w:sz w:val="24"/>
          <w:szCs w:val="24"/>
        </w:rPr>
        <w:t xml:space="preserve">] összetételű komplex keletkezése közben. A fémion – tiomalát és −2,3-dimerkapto-szukcinát rendszerekben az oldategyensúlyi vizsgálatok csapadékképződés miatt nem vezettek eredményre. Viszont a szilárd fázisú vizsgálatok során a [Ru(</w:t>
      </w:r>
      <w:r>
        <w:rPr>
          <w:color w:val="000000"/>
          <w:position w:val="-3"/>
          <w:sz w:val="24"/>
          <w:szCs w:val="24"/>
        </w:rPr>
        <w:drawing>
          <wp:inline distT="0" distB="0" distL="0" distR="0">
            <wp:extent cx="115200" cy="100800"/>
            <wp:docPr id="66322177" name="name150c020134644d" descr="imgtmp_20135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135_hu_2.gif"/>
                    <pic:cNvPicPr/>
                  </pic:nvPicPr>
                  <pic:blipFill>
                    <a:blip r:embed="rId150c020134640f"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-p-cimol)Cl</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 és a tioalmasav reakciójában képződő dimer komplexből sikerült egykristályt növeszteni és szerkezetét röntgendiffrakciós módszerrel meghatározni. A molekulában egy-egy tiomalátion (COO</w:t>
      </w:r>
      <w:r>
        <w:rPr>
          <w:color w:val="000000"/>
          <w:position w:val="4"/>
          <w:sz w:val="21"/>
          <w:szCs w:val="21"/>
          <w:vertAlign w:val="superscript"/>
        </w:rPr>
        <w:t xml:space="preserve">−</w:t>
      </w:r>
      <w:r>
        <w:rPr>
          <w:color w:val="000000"/>
          <w:sz w:val="24"/>
          <w:szCs w:val="24"/>
        </w:rPr>
        <w:t xml:space="preserve">,S</w:t>
      </w:r>
      <w:r>
        <w:rPr>
          <w:color w:val="000000"/>
          <w:position w:val="4"/>
          <w:sz w:val="21"/>
          <w:szCs w:val="21"/>
          <w:vertAlign w:val="superscript"/>
        </w:rPr>
        <w:t xml:space="preserve">−</w:t>
      </w:r>
      <w:r>
        <w:rPr>
          <w:color w:val="000000"/>
          <w:sz w:val="24"/>
          <w:szCs w:val="24"/>
        </w:rPr>
        <w:t xml:space="preserve">) koordinációval kötődik egy-egy fémionhoz és a két egységet a tiolátcsoportok kötik össze egy négytagú planáris Ru-S-Ru-S gyűrűt képezve.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01916">
    <w:multiLevelType w:val="hybridMultilevel"/>
    <w:lvl w:ilvl="0" w:tplc="10475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01916">
    <w:abstractNumId w:val="65401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8958746" Type="http://schemas.openxmlformats.org/officeDocument/2006/relationships/numbering" Target="numbering.xml"/><Relationship Id="rId150c0201344b0a" Type="http://schemas.openxmlformats.org/officeDocument/2006/relationships/image" Target="media/imgrId150c0201344b0a.gif"/><Relationship Id="rId150c020134640f" Type="http://schemas.openxmlformats.org/officeDocument/2006/relationships/image" Target="media/imgrId150c020134640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