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MARIANN KISS</w:t>
            </w:r>
          </w:p>
          <w:p w:rsidR="00C275A3" w:rsidRDefault="00A96AEC" w:rsidP="00C275A3">
            <w:pPr>
              <w:pStyle w:val="Hallgatokepzes"/>
            </w:pPr>
            <w:r>
              <w:t>Chemistry</w:t>
            </w:r>
            <w:r>
              <w:br/>
            </w:r>
            <w:r w:rsidR="00E77B23">
              <w:t>BSc, 5.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Katalin Várnagy</w:t>
            </w:r>
          </w:p>
          <w:p w:rsidR="00DB4822" w:rsidRDefault="00DB4822" w:rsidP="00E11062">
            <w:pPr>
              <w:pStyle w:val="Konzulensek"/>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Copper(II) and nickel(II) complexes of peptides mimicking the superoxide dismutase enzyme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our University’s Bioinorganic Chemical Research group we have synthesized three histidine containing protected hexapeptides (Ac-His-Ala-Ala-His-Gly-His-NH</w:t>
      </w:r>
      <w:r>
        <w:rPr>
          <w:color w:val="000000"/>
          <w:position w:val="-4"/>
          <w:sz w:val="21"/>
          <w:szCs w:val="21"/>
          <w:vertAlign w:val="subscript"/>
        </w:rPr>
        <w:t xml:space="preserve">2</w:t>
      </w:r>
      <w:r>
        <w:rPr>
          <w:color w:val="000000"/>
          <w:sz w:val="24"/>
          <w:szCs w:val="24"/>
        </w:rPr>
        <w:t xml:space="preserve"> and Ac-His-Gly-Gly-His-Gly-His-NH</w:t>
      </w:r>
      <w:r>
        <w:rPr>
          <w:color w:val="000000"/>
          <w:position w:val="-4"/>
          <w:sz w:val="21"/>
          <w:szCs w:val="21"/>
          <w:vertAlign w:val="subscript"/>
        </w:rPr>
        <w:t xml:space="preserve">2</w:t>
      </w:r>
      <w:r>
        <w:rPr>
          <w:color w:val="000000"/>
          <w:sz w:val="24"/>
          <w:szCs w:val="24"/>
        </w:rPr>
        <w:t xml:space="preserve">) and analyzed them in the presence of Ni(II)- and Cu(II)-ions. pH-potenciometric, UV-visible and circular dicroism (CD) spectroscopic measurements were used to study the formed complexes.</w:t>
      </w:r>
      <w:r>
        <w:rPr>
          <w:color w:val="000000"/>
          <w:sz w:val="24"/>
          <w:szCs w:val="24"/>
        </w:rPr>
        <w:br/>
        <w:t xml:space="preserve">In the acidic pH range MAH and MA complexes were formed. In these cases the metal ion coordinates only to the imidazole rings, which significantly increases the stability of the complexes. At physiological pH value the MA complex is present in significant quantity.</w:t>
      </w:r>
      <w:r>
        <w:rPr>
          <w:color w:val="000000"/>
          <w:sz w:val="24"/>
          <w:szCs w:val="24"/>
        </w:rPr>
        <w:br/>
        <w:t xml:space="preserve">However, by increasing pH the deprotonation of amide nitrogens starts. In the case of copper(II) complexes the amide nitrogen deprotonation occurs stepwise, while in the case of nickel(II) complexes the deprotonation takes place in a cooperative process. For the MAH</w:t>
      </w:r>
      <w:r>
        <w:rPr>
          <w:color w:val="000000"/>
          <w:position w:val="-4"/>
          <w:sz w:val="21"/>
          <w:szCs w:val="21"/>
          <w:vertAlign w:val="subscript"/>
        </w:rPr>
        <w:t xml:space="preserve">-3</w:t>
      </w:r>
      <w:r>
        <w:rPr>
          <w:color w:val="000000"/>
          <w:sz w:val="24"/>
          <w:szCs w:val="24"/>
        </w:rPr>
        <w:t xml:space="preserve"> complex the formation of isomeric complex structures is possible but the preferred binding site is the HXXH sequence of both peptides.</w:t>
      </w:r>
      <w:r>
        <w:rPr>
          <w:color w:val="000000"/>
          <w:sz w:val="24"/>
          <w:szCs w:val="24"/>
        </w:rPr>
        <w:br/>
        <w:t xml:space="preserve">In the metal ion – ligand systems dinuclear complexes were also formed. The two metal ions can bind to the HXXH and HGH sequences of the peptides. The coordination of the metal ions occurs through the histidine imidazole nitrogens and the amide nitrogens.</w:t>
      </w:r>
      <w:r>
        <w:rPr>
          <w:color w:val="000000"/>
          <w:sz w:val="24"/>
          <w:szCs w:val="24"/>
        </w:rPr>
        <w:br/>
        <w:t xml:space="preserve">In the Ni(II)-HAAHGH system NMR measurements, while in the Cu(II)-HAAHGH system EPR spectra can provide more information about the structures of the formed complexes and the coordination modes of the metal ions.</w:t>
      </w:r>
    </w:p>
    <w:p>
      <w:pPr>
        <w:pBdr/>
        <w:spacing w:before="240" w:after="240" w:line="240" w:lineRule="auto"/>
        <w:ind w:left="0" w:right="0"/>
        <w:jc w:val="left"/>
      </w:pPr>
      <w:r>
        <w:rPr>
          <w:color w:val="000000"/>
          <w:sz w:val="24"/>
          <w:szCs w:val="24"/>
        </w:rPr>
        <w:t xml:space="preserve">This work was supported by TÁMOP-4.2.2/B-10/-1-2010-0024.</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953497">
    <w:multiLevelType w:val="hybridMultilevel"/>
    <w:lvl w:ilvl="0" w:tplc="570641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953497">
    <w:abstractNumId w:val="479534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41341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