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GERGELY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Várnagy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Két hisztidint tartalmazó tetrapeptid réz(II)-komplexeinek vizsgálata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szervezet számára feltétlenül szükséges a réz(II)ion jelenléte. Elengedhetetlen a redoxi folyamatok katalizálásának szempontjából, és sok más különböző folyamathoz is nélkülözhetetlen, nem csak az emberi szervezet számára. A növényvilágban a fotoszintetikus folyamatokban vesz részt, míg a puhatestű és az ízeltlábú állatok oxigénszállító festékanyagának a részét képezi. Az emberi szervezetben részt vesz a csontképződésben, a légzési láncban, segíti a vas felszívódását és beépülését. A fémion metalloproteinekben és metalloenzimekben aminosav oldallánchoz kötött formában található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legfontosabb kötőhely a hisztidin oldalláncában megtalálható imidazol donorcsoport. A vele alkotott komplex szerkezetét befolyásolja a hisztidin elhelyezkedése, illetve a peptidet felépítő aminosavak oldalláncai.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olyan tetrapeptidet állítottam elő szilárd fázisú peptidszintézissel, mely a C- és az N-terminális végen is hisztidint tartalmaz (NH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-His-Ala-Ala-His). Ezt követően réz(II)ionnal alkotott komplexeit vizsgáltam pH-potenciometria, UV-látható- és a CD-spektroszkópia segítségével.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pH-metriás mérések során 1:1 fém-ligandum arányú komplexek keletkezésén kívül többmagvú szerkezetet is feltételeztünk. A réz(II)ion kis pH-n hisztaminszerűen kapcsolódik az imidazolnitrogénhez [CuAH]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komplexet kialakítva. A pH-t emelve a láncvégi imidazolnitrogén deprotonálódik, majd az amidcsoportok protonvesztése és koordinálódása játszódik le kialakítva a [CuA]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, [CuAH</w:t>
      </w:r>
      <w:r>
        <w:rPr>
          <w:color w:val="000000"/>
          <w:position w:val="-4"/>
          <w:sz w:val="21"/>
          <w:szCs w:val="21"/>
          <w:vertAlign w:val="subscript"/>
        </w:rPr>
        <w:t xml:space="preserve">–1</w:t>
      </w:r>
      <w:r>
        <w:rPr>
          <w:color w:val="000000"/>
          <w:sz w:val="24"/>
          <w:szCs w:val="24"/>
        </w:rPr>
        <w:t xml:space="preserve">], [CuAH</w:t>
      </w:r>
      <w:r>
        <w:rPr>
          <w:color w:val="000000"/>
          <w:position w:val="-4"/>
          <w:sz w:val="21"/>
          <w:szCs w:val="21"/>
          <w:vertAlign w:val="subscript"/>
        </w:rPr>
        <w:t xml:space="preserve">–2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, [CuAH</w:t>
      </w:r>
      <w:r>
        <w:rPr>
          <w:color w:val="000000"/>
          <w:position w:val="-4"/>
          <w:sz w:val="21"/>
          <w:szCs w:val="21"/>
          <w:vertAlign w:val="subscript"/>
        </w:rPr>
        <w:t xml:space="preserve">–3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2–</w:t>
      </w:r>
      <w:r>
        <w:rPr>
          <w:color w:val="000000"/>
          <w:sz w:val="24"/>
          <w:szCs w:val="24"/>
        </w:rPr>
        <w:t xml:space="preserve"> komplexeket. A C-terminális részen elhelyezkedő imidazolnitrogén koordinációja is feltételezhető a [CuA]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, [CuAH</w:t>
      </w:r>
      <w:r>
        <w:rPr>
          <w:color w:val="000000"/>
          <w:position w:val="-4"/>
          <w:sz w:val="21"/>
          <w:szCs w:val="21"/>
          <w:vertAlign w:val="subscript"/>
        </w:rPr>
        <w:t xml:space="preserve">–1</w:t>
      </w:r>
      <w:r>
        <w:rPr>
          <w:color w:val="000000"/>
          <w:sz w:val="24"/>
          <w:szCs w:val="24"/>
        </w:rPr>
        <w:t xml:space="preserve">], [CuAH</w:t>
      </w:r>
      <w:r>
        <w:rPr>
          <w:color w:val="000000"/>
          <w:position w:val="-4"/>
          <w:sz w:val="21"/>
          <w:szCs w:val="21"/>
          <w:vertAlign w:val="subscript"/>
        </w:rPr>
        <w:t xml:space="preserve">–2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komplexekben. A három koordinálódott amid donorcsoport és az aminocsoport telíti a réz(II)ion koordinációs szféráját, így ennél a szerkezetnél ([CuAH</w:t>
      </w:r>
      <w:r>
        <w:rPr>
          <w:color w:val="000000"/>
          <w:position w:val="-4"/>
          <w:sz w:val="21"/>
          <w:szCs w:val="21"/>
          <w:vertAlign w:val="subscript"/>
        </w:rPr>
        <w:t xml:space="preserve">–3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2–</w:t>
      </w:r>
      <w:r>
        <w:rPr>
          <w:color w:val="000000"/>
          <w:sz w:val="24"/>
          <w:szCs w:val="24"/>
        </w:rPr>
        <w:t xml:space="preserve">) már nem képes kapcsolódni a távolabbi imidazolnitrogén.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[Cu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–6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2–</w:t>
      </w:r>
      <w:r>
        <w:rPr>
          <w:color w:val="000000"/>
          <w:sz w:val="24"/>
          <w:szCs w:val="24"/>
        </w:rPr>
        <w:t xml:space="preserve"> összetételű többmagvú komplex képződését is feltételeztünk. Az UV-látható spektrofotometriás eredmények és a CD-spektroszkópiás adatok is alátámasztják ezen szerkezetek keletkezését.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498972">
    <w:multiLevelType w:val="hybridMultilevel"/>
    <w:lvl w:ilvl="0" w:tplc="39015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498972">
    <w:abstractNumId w:val="274989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50998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