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TAKÁCS</w:t>
            </w:r>
          </w:p>
          <w:p w:rsidR="00C275A3" w:rsidRDefault="00A96AEC" w:rsidP="00C275A3">
            <w:pPr>
              <w:pStyle w:val="Hallgatokepzes"/>
            </w:pPr>
            <w:r>
              <w:t>Chemical engineer</w:t>
            </w:r>
            <w:r>
              <w:br/>
            </w:r>
            <w:r w:rsidR="00E77B23">
              <w:t>BSc,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Várnagy</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Studies of copper(II) complexes of a tetrapeptide containing two histidines</w:t>
      </w:r>
    </w:p>
    <w:p w:rsidR="00D71DF5" w:rsidRDefault="00D71DF5" w:rsidP="00AD2602">
      <w:pPr>
        <w:jc w:val="both"/>
      </w:pPr>
    </w:p>
    <w:p>
      <w:pPr>
        <w:pBdr/>
        <w:spacing w:before="240" w:after="240" w:line="240" w:lineRule="auto"/>
        <w:ind w:left="0" w:right="0"/>
        <w:jc w:val="left"/>
      </w:pPr>
      <w:r>
        <w:rPr>
          <w:color w:val="000000"/>
          <w:sz w:val="24"/>
          <w:szCs w:val="24"/>
        </w:rPr>
        <w:t xml:space="preserve">Copper(II) ion is an essential trace element for humans and animals. It plays an important role in catalysis of redox processes in the human body, animals and plants. Copper(II) ion takes part in the photosynthesis for plants, in the oxygen transport system for molluscs and arthropod, and in the ossification and in the respiratory chain for humans, moreover the uptake of iron requires also the presence of copper ion. The metal ions are usually bound to the side chain of donor atoms of the peptide chain of metalloproteines and metalloenzymes.</w:t>
      </w:r>
    </w:p>
    <w:p>
      <w:pPr>
        <w:pBdr/>
        <w:spacing w:before="240" w:after="240" w:line="240" w:lineRule="auto"/>
        <w:ind w:left="0" w:right="0"/>
        <w:jc w:val="left"/>
      </w:pPr>
      <w:r>
        <w:rPr>
          <w:color w:val="000000"/>
          <w:sz w:val="24"/>
          <w:szCs w:val="24"/>
        </w:rPr>
        <w:t xml:space="preserve">The histidine side chain of oligopeptides and proteins is the most important binding site for copper(II)ion. The sructure of these complexes can be influenced by the number and location of histidine in the amino acid sequence.</w:t>
      </w:r>
    </w:p>
    <w:p>
      <w:pPr>
        <w:pBdr/>
        <w:spacing w:before="240" w:after="240" w:line="240" w:lineRule="auto"/>
        <w:ind w:left="0" w:right="0"/>
        <w:jc w:val="left"/>
      </w:pPr>
      <w:r>
        <w:rPr>
          <w:color w:val="000000"/>
          <w:sz w:val="24"/>
          <w:szCs w:val="24"/>
        </w:rPr>
        <w:t xml:space="preserve">During my work I synthesized a tetrapeptide containing histidine at the C- and the N-termini (NH</w:t>
      </w:r>
      <w:r>
        <w:rPr>
          <w:color w:val="000000"/>
          <w:position w:val="-4"/>
          <w:sz w:val="21"/>
          <w:szCs w:val="21"/>
          <w:vertAlign w:val="subscript"/>
        </w:rPr>
        <w:t xml:space="preserve">2</w:t>
      </w:r>
      <w:r>
        <w:rPr>
          <w:color w:val="000000"/>
          <w:sz w:val="24"/>
          <w:szCs w:val="24"/>
        </w:rPr>
        <w:t xml:space="preserve">-His-Ala-Ala-His). The synthesis was performed by means of automated peptide synthesis based upon the solid phase peptide synthesis.</w:t>
      </w:r>
    </w:p>
    <w:p>
      <w:pPr>
        <w:pBdr/>
        <w:spacing w:before="240" w:after="240" w:line="240" w:lineRule="auto"/>
        <w:ind w:left="0" w:right="0"/>
        <w:jc w:val="left"/>
      </w:pPr>
      <w:r>
        <w:rPr>
          <w:color w:val="000000"/>
          <w:sz w:val="24"/>
          <w:szCs w:val="24"/>
        </w:rPr>
        <w:t xml:space="preserve">The potentiometry data can be fitted by supposing the formation of molecular and polynuclear complexes. At acidic pH copper(II) ion binds to the N-terminal part of the molecule (histamine-like coordination) forming the [CuAH]</w:t>
      </w:r>
      <w:r>
        <w:rPr>
          <w:color w:val="000000"/>
          <w:position w:val="4"/>
          <w:sz w:val="21"/>
          <w:szCs w:val="21"/>
          <w:vertAlign w:val="superscript"/>
        </w:rPr>
        <w:t xml:space="preserve">2+</w:t>
      </w:r>
      <w:r>
        <w:rPr>
          <w:color w:val="000000"/>
          <w:sz w:val="24"/>
          <w:szCs w:val="24"/>
        </w:rPr>
        <w:t xml:space="preserve"> complex. Increasing the pH the deprotonation of the imidazole ring on the C-termini and the preceding amide nitrogens results in the formation of [CuA]</w:t>
      </w:r>
      <w:r>
        <w:rPr>
          <w:color w:val="000000"/>
          <w:position w:val="4"/>
          <w:sz w:val="21"/>
          <w:szCs w:val="21"/>
          <w:vertAlign w:val="superscript"/>
        </w:rPr>
        <w:t xml:space="preserve">+</w:t>
      </w:r>
      <w:r>
        <w:rPr>
          <w:color w:val="000000"/>
          <w:sz w:val="24"/>
          <w:szCs w:val="24"/>
        </w:rPr>
        <w:t xml:space="preserve">, [CuAH</w:t>
      </w:r>
      <w:r>
        <w:rPr>
          <w:color w:val="000000"/>
          <w:position w:val="-4"/>
          <w:sz w:val="21"/>
          <w:szCs w:val="21"/>
          <w:vertAlign w:val="subscript"/>
        </w:rPr>
        <w:t xml:space="preserve">–1</w:t>
      </w:r>
      <w:r>
        <w:rPr>
          <w:color w:val="000000"/>
          <w:sz w:val="24"/>
          <w:szCs w:val="24"/>
        </w:rPr>
        <w:t xml:space="preserve">], [CuAH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 [CuAH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complexes. The participation of the C-terminal imidazole nitrogen is also supposed in the [CuA]</w:t>
      </w:r>
      <w:r>
        <w:rPr>
          <w:color w:val="000000"/>
          <w:position w:val="4"/>
          <w:sz w:val="21"/>
          <w:szCs w:val="21"/>
          <w:vertAlign w:val="superscript"/>
        </w:rPr>
        <w:t xml:space="preserve">+</w:t>
      </w:r>
      <w:r>
        <w:rPr>
          <w:color w:val="000000"/>
          <w:sz w:val="24"/>
          <w:szCs w:val="24"/>
        </w:rPr>
        <w:t xml:space="preserve">, [CuAH</w:t>
      </w:r>
      <w:r>
        <w:rPr>
          <w:color w:val="000000"/>
          <w:position w:val="-4"/>
          <w:sz w:val="21"/>
          <w:szCs w:val="21"/>
          <w:vertAlign w:val="subscript"/>
        </w:rPr>
        <w:t xml:space="preserve">–1</w:t>
      </w:r>
      <w:r>
        <w:rPr>
          <w:color w:val="000000"/>
          <w:sz w:val="24"/>
          <w:szCs w:val="24"/>
        </w:rPr>
        <w:t xml:space="preserve">], [CuAH</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perscript"/>
        </w:rPr>
        <w:t xml:space="preserve">–</w:t>
      </w:r>
      <w:r>
        <w:rPr>
          <w:color w:val="000000"/>
          <w:sz w:val="24"/>
          <w:szCs w:val="24"/>
        </w:rPr>
        <w:t xml:space="preserve"> complexes. The coordination of amino-, and three amide nitrogens in the [CuAH</w:t>
      </w:r>
      <w:r>
        <w:rPr>
          <w:color w:val="000000"/>
          <w:position w:val="-4"/>
          <w:sz w:val="21"/>
          <w:szCs w:val="21"/>
          <w:vertAlign w:val="subscript"/>
        </w:rPr>
        <w:t xml:space="preserve">–3</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species however, saturates the coordination sphere of copper(II)ion , so the binding of the other imidazole nitrogen can be excluded.</w:t>
      </w:r>
    </w:p>
    <w:p>
      <w:pPr>
        <w:pBdr/>
        <w:spacing w:before="240" w:after="240" w:line="240" w:lineRule="auto"/>
        <w:ind w:left="0" w:right="0"/>
        <w:jc w:val="left"/>
      </w:pPr>
      <w:r>
        <w:rPr>
          <w:color w:val="000000"/>
          <w:sz w:val="24"/>
          <w:szCs w:val="24"/>
        </w:rPr>
        <w:t xml:space="preserve">We supposed the existence of a trinuclear complex [Cu</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–6</w:t>
      </w:r>
      <w:r>
        <w:rPr>
          <w:color w:val="000000"/>
          <w:sz w:val="24"/>
          <w:szCs w:val="24"/>
        </w:rPr>
        <w:t xml:space="preserve">]</w:t>
      </w:r>
      <w:r>
        <w:rPr>
          <w:color w:val="000000"/>
          <w:position w:val="4"/>
          <w:sz w:val="21"/>
          <w:szCs w:val="21"/>
          <w:vertAlign w:val="superscript"/>
        </w:rPr>
        <w:t xml:space="preserve">2–</w:t>
      </w:r>
      <w:r>
        <w:rPr>
          <w:color w:val="000000"/>
          <w:sz w:val="24"/>
          <w:szCs w:val="24"/>
        </w:rPr>
        <w:t xml:space="preserve">. Which is supported by UV-vis and CD-spectroscopic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35725">
    <w:multiLevelType w:val="hybridMultilevel"/>
    <w:lvl w:ilvl="0" w:tplc="21311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35725">
    <w:abstractNumId w:val="96035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318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