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TAKÁCS GERGELY</w:t>
            </w:r>
          </w:p>
          <w:p w:rsidR="00C275A3" w:rsidRDefault="00A96AEC" w:rsidP="00C275A3">
            <w:pPr>
              <w:pStyle w:val="Hallgatokepzes"/>
            </w:pPr>
            <w:r>
              <w:t>Vegyészmérnök</w:t>
            </w:r>
            <w:r>
              <w:br/>
            </w:r>
            <w:r w:rsidR="00E77B23">
              <w:t>BSc, 3.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Természettudományi és Technológiai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Várnagy Katalin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DE TTK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Két hisztidint tartalmazó tetrapeptid réz(II)-komplexeinek vizsgálata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emberi szervezet számára feltétlenül szükséges a réz(II)ion jelenléte. Elengedhetetlen a redoxi folyamatok katalizálásának szempontjából, és sok más különböző folyamathoz is nélkülözhetetlen, nem csak az emberi szervezet számára. A növényvilágban a fotoszintetikus folyamatokban vesz részt, míg a puhatestű és az ízeltlábú állatok oxigénszállító festékanyagának a részét képezi. Az emberi szervezetben részt vesz a csontképződésben, a légzési láncban, segíti a vas felszívódását és beépülését. A fémion metalloproteinekben és metalloenzimekben aminosav oldallánchoz kötött formában található meg.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legfontosabb kötőhely a hisztidin oldalláncában megtalálható imidazol donorcsoport. A vele alkotott komplex szerkezetét befolyásolja a hisztidin elhelyezkedése, illetve a peptidet felépítő aminosavak oldalláncai.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Munkám során olyan tetrapeptidet állítottam elő szilárd fázisú peptidszintézissel, mely a C- és az N-terminális végen is hisztidint tartalmaz (NH</w:t>
      </w:r>
      <w:r>
        <w:rPr>
          <w:color w:val="000000"/>
          <w:position w:val="-4"/>
          <w:sz w:val="21"/>
          <w:szCs w:val="21"/>
          <w:vertAlign w:val="subscript"/>
        </w:rPr>
        <w:t xml:space="preserve">2</w:t>
      </w:r>
      <w:r>
        <w:rPr>
          <w:color w:val="000000"/>
          <w:sz w:val="24"/>
          <w:szCs w:val="24"/>
        </w:rPr>
        <w:t xml:space="preserve">-His-Ala-Ala-His). Ezt követően réz(II)ionnal alkotott komplexeit vizsgáltam pH-potenciometria, UV-látható- és a CD-spektroszkópia segítségével.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pH-metriás mérések során 1:1 fém-ligandum arányú komplexek keletkezésén kívül többmagvú szerkezetet is feltételeztünk. A réz(II)ion kis pH-n hisztaminszerűen kapcsolódik az imidazolnitrogénhez [CuAH]</w:t>
      </w:r>
      <w:r>
        <w:rPr>
          <w:color w:val="000000"/>
          <w:position w:val="4"/>
          <w:sz w:val="21"/>
          <w:szCs w:val="21"/>
          <w:vertAlign w:val="superscript"/>
        </w:rPr>
        <w:t xml:space="preserve">2+</w:t>
      </w:r>
      <w:r>
        <w:rPr>
          <w:color w:val="000000"/>
          <w:sz w:val="24"/>
          <w:szCs w:val="24"/>
        </w:rPr>
        <w:t xml:space="preserve"> komplexet kialakítva. A pH-t emelve a láncvégi imidazolnitrogén deprotonálódik, majd az amidcsoportok protonvesztése és koordinálódása játszódik le kialakítva a [CuA]</w:t>
      </w:r>
      <w:r>
        <w:rPr>
          <w:color w:val="000000"/>
          <w:position w:val="4"/>
          <w:sz w:val="21"/>
          <w:szCs w:val="21"/>
          <w:vertAlign w:val="superscript"/>
        </w:rPr>
        <w:t xml:space="preserve">+</w:t>
      </w:r>
      <w:r>
        <w:rPr>
          <w:color w:val="000000"/>
          <w:sz w:val="24"/>
          <w:szCs w:val="24"/>
        </w:rPr>
        <w:t xml:space="preserve">, [CuAH</w:t>
      </w:r>
      <w:r>
        <w:rPr>
          <w:color w:val="000000"/>
          <w:position w:val="-4"/>
          <w:sz w:val="21"/>
          <w:szCs w:val="21"/>
          <w:vertAlign w:val="subscript"/>
        </w:rPr>
        <w:t xml:space="preserve">–1</w:t>
      </w:r>
      <w:r>
        <w:rPr>
          <w:color w:val="000000"/>
          <w:sz w:val="24"/>
          <w:szCs w:val="24"/>
        </w:rPr>
        <w:t xml:space="preserve">], [CuAH</w:t>
      </w:r>
      <w:r>
        <w:rPr>
          <w:color w:val="000000"/>
          <w:position w:val="-4"/>
          <w:sz w:val="21"/>
          <w:szCs w:val="21"/>
          <w:vertAlign w:val="subscript"/>
        </w:rPr>
        <w:t xml:space="preserve">–2</w:t>
      </w:r>
      <w:r>
        <w:rPr>
          <w:color w:val="000000"/>
          <w:sz w:val="24"/>
          <w:szCs w:val="24"/>
        </w:rPr>
        <w:t xml:space="preserve">]</w:t>
      </w:r>
      <w:r>
        <w:rPr>
          <w:color w:val="000000"/>
          <w:position w:val="4"/>
          <w:sz w:val="21"/>
          <w:szCs w:val="21"/>
          <w:vertAlign w:val="superscript"/>
        </w:rPr>
        <w:t xml:space="preserve">–</w:t>
      </w:r>
      <w:r>
        <w:rPr>
          <w:color w:val="000000"/>
          <w:sz w:val="24"/>
          <w:szCs w:val="24"/>
        </w:rPr>
        <w:t xml:space="preserve">, [CuAH</w:t>
      </w:r>
      <w:r>
        <w:rPr>
          <w:color w:val="000000"/>
          <w:position w:val="-4"/>
          <w:sz w:val="21"/>
          <w:szCs w:val="21"/>
          <w:vertAlign w:val="subscript"/>
        </w:rPr>
        <w:t xml:space="preserve">–3</w:t>
      </w:r>
      <w:r>
        <w:rPr>
          <w:color w:val="000000"/>
          <w:sz w:val="24"/>
          <w:szCs w:val="24"/>
        </w:rPr>
        <w:t xml:space="preserve">]</w:t>
      </w:r>
      <w:r>
        <w:rPr>
          <w:color w:val="000000"/>
          <w:position w:val="4"/>
          <w:sz w:val="21"/>
          <w:szCs w:val="21"/>
          <w:vertAlign w:val="superscript"/>
        </w:rPr>
        <w:t xml:space="preserve">2–</w:t>
      </w:r>
      <w:r>
        <w:rPr>
          <w:color w:val="000000"/>
          <w:sz w:val="24"/>
          <w:szCs w:val="24"/>
        </w:rPr>
        <w:t xml:space="preserve"> komplexeket. A C-terminális részen elhelyezkedő imidazolnitrogén koordinációja is feltételezhető a [CuA]</w:t>
      </w:r>
      <w:r>
        <w:rPr>
          <w:color w:val="000000"/>
          <w:position w:val="4"/>
          <w:sz w:val="21"/>
          <w:szCs w:val="21"/>
          <w:vertAlign w:val="superscript"/>
        </w:rPr>
        <w:t xml:space="preserve">+</w:t>
      </w:r>
      <w:r>
        <w:rPr>
          <w:color w:val="000000"/>
          <w:sz w:val="24"/>
          <w:szCs w:val="24"/>
        </w:rPr>
        <w:t xml:space="preserve">, [CuAH</w:t>
      </w:r>
      <w:r>
        <w:rPr>
          <w:color w:val="000000"/>
          <w:position w:val="-4"/>
          <w:sz w:val="21"/>
          <w:szCs w:val="21"/>
          <w:vertAlign w:val="subscript"/>
        </w:rPr>
        <w:t xml:space="preserve">–1</w:t>
      </w:r>
      <w:r>
        <w:rPr>
          <w:color w:val="000000"/>
          <w:sz w:val="24"/>
          <w:szCs w:val="24"/>
        </w:rPr>
        <w:t xml:space="preserve">], [CuAH</w:t>
      </w:r>
      <w:r>
        <w:rPr>
          <w:color w:val="000000"/>
          <w:position w:val="-4"/>
          <w:sz w:val="21"/>
          <w:szCs w:val="21"/>
          <w:vertAlign w:val="subscript"/>
        </w:rPr>
        <w:t xml:space="preserve">–2</w:t>
      </w:r>
      <w:r>
        <w:rPr>
          <w:color w:val="000000"/>
          <w:sz w:val="24"/>
          <w:szCs w:val="24"/>
        </w:rPr>
        <w:t xml:space="preserve">]</w:t>
      </w:r>
      <w:r>
        <w:rPr>
          <w:color w:val="000000"/>
          <w:position w:val="4"/>
          <w:sz w:val="21"/>
          <w:szCs w:val="21"/>
          <w:vertAlign w:val="superscript"/>
        </w:rPr>
        <w:t xml:space="preserve">–</w:t>
      </w:r>
      <w:r>
        <w:rPr>
          <w:color w:val="000000"/>
          <w:sz w:val="24"/>
          <w:szCs w:val="24"/>
        </w:rPr>
        <w:t xml:space="preserve"> komplexekben. A három koordinálódott amid donorcsoport és az aminocsoport telíti a réz(II)ion koordinációs szféráját, így ennél a szerkezetnél ([CuAH</w:t>
      </w:r>
      <w:r>
        <w:rPr>
          <w:color w:val="000000"/>
          <w:position w:val="-4"/>
          <w:sz w:val="21"/>
          <w:szCs w:val="21"/>
          <w:vertAlign w:val="subscript"/>
        </w:rPr>
        <w:t xml:space="preserve">–3</w:t>
      </w:r>
      <w:r>
        <w:rPr>
          <w:color w:val="000000"/>
          <w:sz w:val="24"/>
          <w:szCs w:val="24"/>
        </w:rPr>
        <w:t xml:space="preserve">]</w:t>
      </w:r>
      <w:r>
        <w:rPr>
          <w:color w:val="000000"/>
          <w:position w:val="4"/>
          <w:sz w:val="21"/>
          <w:szCs w:val="21"/>
          <w:vertAlign w:val="superscript"/>
        </w:rPr>
        <w:t xml:space="preserve">2–</w:t>
      </w:r>
      <w:r>
        <w:rPr>
          <w:color w:val="000000"/>
          <w:sz w:val="24"/>
          <w:szCs w:val="24"/>
        </w:rPr>
        <w:t xml:space="preserve">) már nem képes kapcsolódni a távolabbi imidazolnitrogén.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Egy [Cu</w:t>
      </w:r>
      <w:r>
        <w:rPr>
          <w:color w:val="000000"/>
          <w:position w:val="-4"/>
          <w:sz w:val="21"/>
          <w:szCs w:val="21"/>
          <w:vertAlign w:val="subscript"/>
        </w:rPr>
        <w:t xml:space="preserve">3</w:t>
      </w:r>
      <w:r>
        <w:rPr>
          <w:color w:val="000000"/>
          <w:sz w:val="24"/>
          <w:szCs w:val="24"/>
        </w:rPr>
        <w:t xml:space="preserve">A</w:t>
      </w:r>
      <w:r>
        <w:rPr>
          <w:color w:val="000000"/>
          <w:position w:val="-4"/>
          <w:sz w:val="21"/>
          <w:szCs w:val="21"/>
          <w:vertAlign w:val="subscript"/>
        </w:rPr>
        <w:t xml:space="preserve">2</w:t>
      </w:r>
      <w:r>
        <w:rPr>
          <w:color w:val="000000"/>
          <w:sz w:val="24"/>
          <w:szCs w:val="24"/>
        </w:rPr>
        <w:t xml:space="preserve">H</w:t>
      </w:r>
      <w:r>
        <w:rPr>
          <w:color w:val="000000"/>
          <w:position w:val="-4"/>
          <w:sz w:val="21"/>
          <w:szCs w:val="21"/>
          <w:vertAlign w:val="subscript"/>
        </w:rPr>
        <w:t xml:space="preserve">–6</w:t>
      </w:r>
      <w:r>
        <w:rPr>
          <w:color w:val="000000"/>
          <w:sz w:val="24"/>
          <w:szCs w:val="24"/>
        </w:rPr>
        <w:t xml:space="preserve">]</w:t>
      </w:r>
      <w:r>
        <w:rPr>
          <w:color w:val="000000"/>
          <w:position w:val="4"/>
          <w:sz w:val="21"/>
          <w:szCs w:val="21"/>
          <w:vertAlign w:val="superscript"/>
        </w:rPr>
        <w:t xml:space="preserve">2–</w:t>
      </w:r>
      <w:r>
        <w:rPr>
          <w:color w:val="000000"/>
          <w:sz w:val="24"/>
          <w:szCs w:val="24"/>
        </w:rPr>
        <w:t xml:space="preserve"> összetételű többmagvú komplex képződését is feltételeztünk. Az UV-látható spektrofotometriás eredmények és a CD-spektroszkópiás adatok is alátámasztják ezen szerkezetek keletkezését.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7728872">
    <w:multiLevelType w:val="hybridMultilevel"/>
    <w:lvl w:ilvl="0" w:tplc="7317481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7728872">
    <w:abstractNumId w:val="1772887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8100850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