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RAICS MÁRIA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Kállay Csilla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Aszparaginsavat és hisztidint egyaránt tartalmazó hexapeptid átmenetifém-komplexei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Szervezetünk egy-egy sejtjében másodpercenként több millió kémiai reakció megy végbe, melyekben a fémion és a fehérje közötti kölcsönhatásnak meghatározó szerep jut. Erre láthatunk példát a metalloproteinek esetében vagy egyes fehérjék – akár kóros, pl. neurodegeneratív betegségeket eredményező – konformációváltozása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két, a biológiai rendszerekben jelentős fémmegkötő helyet; aszparaginsavat és hisztidint egyaránt tartalmazó peptid átmenetifém-ionokkal való komplexképzését vizsgáltuk. Az általunk szintetizált AlaAlaAspAlaAlaHis-NH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ligandum két egymástól elkülönült fémion-megkötőhelyet tartalmaz. A peptid N-terminális részén az egyszerű peptidekben is megvalósuló koordinációs módok mellett a harmadik helyen található Asp révén (NH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,β-COO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koordináció alakulhat ki, illetve ettől függetlenül, a C-terminális részen az imidazolnitrogén – mint horgony – kötődésével (N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,N(Im)) koordinációjú komplex keletkezhet.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hexapeptid Cu(II)-, Ni(II)- és Zn(II)-komplexeinek pH-potenciometriás, UV-Vis és CD-spektroszkópiás vizsgálatai azt mutatják, hogy a savas tartományban képződő (NH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,CO) koordinációjú komplexet a 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-csoport és/vagy az N(Im) makrokelátként stabilizálja. Fiziológiás tartományban a Cu(II)-ionok esetében már (NH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,β-COO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koordinációjú komplexek vannak jelen, a Ni(II)-ion esetében azonban az amidnitrogének deprotonálódása és az említett koordináció kialakulása kissé nagyobb pH-tartomány felé tolódik, mely során az oktaéderes geometriát síknégyzetes elrendeződés váltja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Erősen lúgos tartományban a 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-csoport nem csak a Ni(II)-, hanem a Cu(II)-ionok esetében is kiszorul a koordinációból, és a soron következő deprotonálódott amidnitrogén koordinálódik a fémionhoz. A Ni(II)-ionoknál emellett feltételezhető az N(Im)-ről induló (N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,N(Im)) koordináció megjelenése is. A Zn(II)-ionok lúgos tartományban hidrolízist szenvedtek.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Kétszeres fémfelesleg esetében a ligandum a Cu(II)-ionokat képes volt megkötni: a kétmagvú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LH</w:t>
      </w:r>
      <w:r>
        <w:rPr>
          <w:color w:val="000000"/>
          <w:position w:val="-4"/>
          <w:sz w:val="21"/>
          <w:szCs w:val="21"/>
          <w:vertAlign w:val="subscript"/>
        </w:rPr>
        <w:t xml:space="preserve">–4</w:t>
      </w:r>
      <w:r>
        <w:rPr>
          <w:color w:val="000000"/>
          <w:sz w:val="24"/>
          <w:szCs w:val="24"/>
        </w:rPr>
        <w:t xml:space="preserve">, illetve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LH</w:t>
      </w:r>
      <w:r>
        <w:rPr>
          <w:color w:val="000000"/>
          <w:position w:val="-4"/>
          <w:sz w:val="21"/>
          <w:szCs w:val="21"/>
          <w:vertAlign w:val="subscript"/>
        </w:rPr>
        <w:t xml:space="preserve">–5</w:t>
      </w:r>
      <w:r>
        <w:rPr>
          <w:color w:val="000000"/>
          <w:sz w:val="24"/>
          <w:szCs w:val="24"/>
        </w:rPr>
        <w:t xml:space="preserve"> összetételű komplexekben az (NH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,β-COO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koordináció kiegészült az (N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,N(Im)), illetve (N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,N(Im)) koordinációval.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rendszerek többségénél az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-csoportról induló, (NH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,β-COO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) koordináció nagyfokú kedvezményezettségét láthattuk az N(Im)-ről induló koordinációval szemben. A későbbiekben a harmadik helyen álló Asp jelentőségét kívánjuk mélyebben tanulmányozni annak a hasonló térkitöltésű, nem koordinálódó valinra való kicserélésével.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82674">
    <w:multiLevelType w:val="hybridMultilevel"/>
    <w:lvl w:ilvl="0" w:tplc="37649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82674">
    <w:abstractNumId w:val="340826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405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