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NORBERT LIHI</w:t>
            </w:r>
          </w:p>
          <w:p w:rsidR="00C275A3" w:rsidRDefault="00A96AEC" w:rsidP="00C275A3">
            <w:pPr>
              <w:pStyle w:val="Hallgatokepzes"/>
            </w:pPr>
            <w:r>
              <w:t>Chemist</w:t>
            </w:r>
            <w:r>
              <w:br/>
            </w:r>
            <w:r w:rsidR="00E77B23">
              <w:t>MSc, 1. semester</w:t>
            </w:r>
          </w:p>
          <w:p w:rsidR="00C265CE" w:rsidRPr="009E5FF1" w:rsidRDefault="00E77B23" w:rsidP="00C275A3">
            <w:pPr>
              <w:pStyle w:val="Hallgatokepzes"/>
              <w:rPr>
                <w:b/>
                <w:caps/>
              </w:rPr>
            </w:pPr>
            <w:r>
              <w:t>University of Debrecen</w:t>
            </w:r>
            <w:r w:rsidR="00C275A3">
              <w:br/>
            </w:r>
            <w:r w:rsidR="00DB4822">
              <w:t>Faculty of Science and Technology</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Katalin Várnagy</w:t>
            </w:r>
          </w:p>
          <w:p w:rsidR="00DB4822" w:rsidRDefault="00DB4822" w:rsidP="00E11062">
            <w:pPr>
              <w:pStyle w:val="Konzulensek"/>
            </w:pPr>
            <w:r w:rsidRPr="00DB4822">
              <w:t>associate professor, DE TTK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Ligands containing [O,N]-donor groups as potential iron chelators</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One of the disorders connected to iron overload is beta-thalassemia. The treatment of this disorder is only symptomatic however, the previously applied methods seriously affect the patients’ quality of life. That is the reason why the peroral chelators have started to spread in therapeutics.</w:t>
      </w:r>
      <w:r>
        <w:rPr>
          <w:color w:val="000000"/>
          <w:sz w:val="24"/>
          <w:szCs w:val="24"/>
        </w:rPr>
        <w:br/>
        <w:t xml:space="preserve">Based on these facts we carried out solution equilibrium, redox and structural studies for three new potential iron chelators.</w:t>
      </w:r>
      <w:r>
        <w:rPr>
          <w:color w:val="000000"/>
          <w:sz w:val="24"/>
          <w:szCs w:val="24"/>
        </w:rPr>
        <w:br/>
        <w:t xml:space="preserve">The results reflect that all the three compounds form extremely stable complexes with iron(III) ions. The coordination of the metal ion occurs through the oxygen atoms of the aromatic hydroxyl group and the azo nitrogens. This type of coordination mode was proved by structure determination methods. In the cases of all the three peptides bis complexes are formed at physiological pH. This coordination mode saturates the coordination sphere of the octahedral iron(III) ion that is important in terms of the iron-binding property.</w:t>
      </w:r>
      <w:r>
        <w:rPr>
          <w:color w:val="000000"/>
          <w:sz w:val="24"/>
          <w:szCs w:val="24"/>
        </w:rPr>
        <w:br/>
        <w:t xml:space="preserve">An important parameter for the iron chelators is the pFe value. The greater pFe value a compound has, the bigger amount of iron it can bind. The pFe values that were calculated on the basis of the stability constants were similar to the pFe value of transferrin in the human body. Thus if these ligands are introduced to the organism, a competition can occur between the ligands and transferrin.</w:t>
      </w:r>
      <w:r>
        <w:rPr>
          <w:color w:val="000000"/>
          <w:sz w:val="24"/>
          <w:szCs w:val="24"/>
        </w:rPr>
        <w:br/>
        <w:t xml:space="preserve">The solution equilibrium studies were performed in the presence of iron(II) ions as well. The obtained results reflect that this metal ion forms less stable complexes with the investigated ligands. This is important from the point of view of iron binding as the chelator compounds should bind the less reactive iron(III) ion stronger.</w:t>
      </w:r>
      <w:r>
        <w:rPr>
          <w:color w:val="000000"/>
          <w:sz w:val="24"/>
          <w:szCs w:val="24"/>
        </w:rPr>
        <w:br/>
        <w:t xml:space="preserve">With the help of cyclic voltammetry we found that the free ligands are subject to oxidation under the conditions of the experimental method. Based on the reversibility studies it can be concluded that the iron(III) complexes of the ligands are stable enough to prevent the oxidation of the ligand.</w:t>
      </w:r>
      <w:r>
        <w:rPr>
          <w:color w:val="000000"/>
          <w:sz w:val="24"/>
          <w:szCs w:val="24"/>
        </w:rPr>
        <w:br/>
        <w:t xml:space="preserve">As a conclusion we can say that the studied ligands can be capable of binding the iron excess in the organisms. This assumption is based on the stability and the structure of the complexes formed in the metal ion – ligand systems. At the same time further experiments are needed for proving the iron-binding selectivity of the ligands and the lack of catalytic activity against the processes of oxidative stress.</w:t>
      </w:r>
    </w:p>
    <w:p>
      <w:pPr>
        <w:pBdr/>
        <w:spacing w:before="240" w:after="240" w:line="240" w:lineRule="auto"/>
        <w:ind w:left="0" w:right="0"/>
        <w:jc w:val="left"/>
      </w:pPr>
      <w:r>
        <w:rPr>
          <w:color w:val="000000"/>
          <w:sz w:val="24"/>
          <w:szCs w:val="24"/>
        </w:rPr>
        <w:t xml:space="preserve">This work was supported by TÁMOP-4.2.2/B-10/1-2010-0024.</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7722098">
    <w:multiLevelType w:val="hybridMultilevel"/>
    <w:lvl w:ilvl="0" w:tplc="6898531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7722098">
    <w:abstractNumId w:val="2772209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8068214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