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jpg" ContentType="image/jp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ATTILA BARANYI</w:t>
            </w:r>
          </w:p>
          <w:p w:rsidR="00C275A3" w:rsidRDefault="00A96AEC" w:rsidP="00C275A3">
            <w:pPr>
              <w:pStyle w:val="Hallgatokepzes"/>
            </w:pPr>
            <w:r>
              <w:t>Chemistry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Science and 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Gábor Papp</w:t>
            </w:r>
          </w:p>
          <w:p w:rsidR="00DB4822" w:rsidRDefault="00DB4822" w:rsidP="00E11062">
            <w:pPr>
              <w:pStyle w:val="Konzulensek"/>
            </w:pPr>
            <w:r w:rsidRPr="00DB4822">
              <w:t>Scientific Research Assistant,  MTA-DE Research Group on Homogeneous Catalysis and Reaction Mechanisms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Effect of cations in formate decomposition.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Effect of cations in formate decomposition.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Catalyst: [{RuCl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(mtppms)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}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]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decomposition rate of Li-, Na- and K-formate in water were about the same, but the rate of Cs-formate decomposition was somewhat higher. Furthermore, the corresponding virtual activation energy (from Arrhenius representation) was found lower then for the other format salts. Magnesium and calcium containing systems have a much lower activity 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[Ru] = 2 mM, [mtppms] = 42 mM, [HCOO-] = 240 mM, V(H2O) = 5,5 mL</w:t>
      </w:r>
    </w:p>
    <w:p>
      <w:pPr>
        <w:pBdr/>
        <w:spacing w:before="240" w:after="240" w:line="240" w:lineRule="auto"/>
        <w:ind w:left="45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2124000" cy="1296000"/>
            <wp:docPr id="57491292" name="name150bddb4a22625" descr="20145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45_1.JPG"/>
                    <pic:cNvPicPr/>
                  </pic:nvPicPr>
                  <pic:blipFill>
                    <a:blip r:embed="rId150bddb4a225e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4000" cy="1296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drawing>
          <wp:inline distT="0" distB="0" distL="0" distR="0">
            <wp:extent cx="2124000" cy="1303200"/>
            <wp:docPr id="65091293" name="name150bddb4a22a1d" descr="20145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45_2.JPG"/>
                    <pic:cNvPicPr/>
                  </pic:nvPicPr>
                  <pic:blipFill>
                    <a:blip r:embed="rId150bddb4a229e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4000" cy="13032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Bdr/>
        <w:spacing w:before="240" w:after="240" w:line="240" w:lineRule="auto"/>
        <w:ind w:left="3150" w:right="0"/>
        <w:jc w:val="left"/>
      </w:pPr>
      <w:r>
        <w:rPr>
          <w:color w:val="000000"/>
          <w:sz w:val="24"/>
          <w:szCs w:val="24"/>
        </w:rPr>
        <w:t xml:space="preserve">Determined TOF and ativation energy values.</w:t>
      </w: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An explanation of these differences can be very helpful in finding a more suitable hydrogen storage method. This will help the daily energy product become more environmentally friendly.</w:t>
      </w:r>
    </w:p>
    <w:p>
      <w:pPr>
        <w:pBdr/>
        <w:spacing w:before="240" w:after="240" w:line="240" w:lineRule="auto"/>
        <w:ind w:left="315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633270">
    <w:multiLevelType w:val="hybridMultilevel"/>
    <w:lvl w:ilvl="0" w:tplc="554515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633270">
    <w:abstractNumId w:val="4363327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3757645" Type="http://schemas.openxmlformats.org/officeDocument/2006/relationships/numbering" Target="numbering.xml"/><Relationship Id="rId150bddb4a225e8" Type="http://schemas.openxmlformats.org/officeDocument/2006/relationships/image" Target="media/imgrId150bddb4a225e8.jpg"/><Relationship Id="rId150bddb4a229e1" Type="http://schemas.openxmlformats.org/officeDocument/2006/relationships/image" Target="media/imgrId150bddb4a229e1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