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BOGDÁNDI VIRÁG</w:t>
            </w:r>
          </w:p>
          <w:p w:rsidR="00C275A3" w:rsidRDefault="00A96AEC" w:rsidP="00C275A3">
            <w:pPr>
              <w:pStyle w:val="Hallgatokepzes"/>
            </w:pPr>
            <w:r>
              <w:t>kémia </w:t>
            </w:r>
            <w:r>
              <w:br/>
            </w:r>
            <w:r w:rsidR="00E77B23">
              <w:t>BSc, 5.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Lente Gábor</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izoniazid és a permanganát közötti reakció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Tudományos diákköri dolgozatom tárgya az izoniazid és a permanganátion közötti reakció. Az izoniazid a tuberkulózis megelőzésében és kezelésében használt első számú antibiotikum, melynek lebontása az élő szervezetben oxidáció valamint hidrolízis által történhet. Munkám célja egy oxidációs reakció tanulmányozása volt, így kísérleteim során az izoniazidot kálium-permanganáttal oxidáltam kénsavas közegben.</w:t>
      </w:r>
    </w:p>
    <w:p>
      <w:pPr>
        <w:pBdr/>
        <w:spacing w:before="240" w:after="240" w:line="240" w:lineRule="auto"/>
        <w:ind w:left="0" w:right="0"/>
        <w:jc w:val="left"/>
      </w:pPr>
      <w:r>
        <w:rPr>
          <w:color w:val="000000"/>
          <w:sz w:val="24"/>
          <w:szCs w:val="24"/>
        </w:rPr>
        <w:t xml:space="preserve">Első lépésben a reakció sztöchiometriáját határoztuk meg spektrofotometriás titrálással. Az izoniazid hidrazincsoportjának oxidációja két úton is lejátszódhat, egyik esetben izonikotinsav, míg másik esetben izonikotinamid keletkezik, emellett mindkét reakcióban nitrogéngáz is fejlődik. A termékeket tömegspektrometriás mérés segítségével is azonosítottuk. A sztöchiometria meghatározásánál kapott eredmények, valamint a tömegspektrum jelintenzitásai arra engednek következtetni, hogy az izonikotinsavat eredményező folyamat dominál.</w:t>
      </w:r>
    </w:p>
    <w:p>
      <w:pPr>
        <w:pBdr/>
        <w:spacing w:before="240" w:after="240" w:line="240" w:lineRule="auto"/>
        <w:ind w:left="0" w:right="0"/>
        <w:jc w:val="left"/>
      </w:pPr>
      <w:r>
        <w:rPr>
          <w:color w:val="000000"/>
          <w:sz w:val="24"/>
          <w:szCs w:val="24"/>
        </w:rPr>
        <w:t xml:space="preserve">A reakciókinetikai mérésekhez az optimális hullámhossz 537 nm-nek adódott, amely összhangban van azzal, hogy a reakció során a permanganátion jellegzetes színének eltűnését tapasztaltuk. A kinetikai méréseket ezen a meghatározott hullámhosszon folytattuk stopped-flow készülék segítségével, ugyanis a reakció egy-két másodperc alatt lezajlik.</w:t>
      </w:r>
    </w:p>
    <w:p>
      <w:pPr>
        <w:pBdr/>
        <w:spacing w:before="240" w:after="240" w:line="240" w:lineRule="auto"/>
        <w:ind w:left="0" w:right="0"/>
        <w:jc w:val="left"/>
      </w:pPr>
      <w:r>
        <w:rPr>
          <w:color w:val="000000"/>
          <w:sz w:val="24"/>
          <w:szCs w:val="24"/>
        </w:rPr>
        <w:t xml:space="preserve">Az izoniazidot nagy feleslegben alkalmaztuk a kísérletek során, így arra számítottunk, hogy a reakció elsőrendű lesz a permanganátionra nézve. Ezt az elméletet azonban két okból is el kellett vetni. Egyrészt az exponenciális görbe illeszkedése a kinetikai görbére nem volt tökéletes, másrészt az elsőrendű illesztésből kapott pszeudo-elsőrendű sebességi állandó nemcsak az izoniazid, hanem a kálium-permanganát koncentrációjától is függ.</w:t>
      </w:r>
    </w:p>
    <w:p>
      <w:pPr>
        <w:pBdr/>
        <w:spacing w:before="240" w:after="240" w:line="240" w:lineRule="auto"/>
        <w:ind w:left="0" w:right="0"/>
        <w:jc w:val="left"/>
      </w:pPr>
      <w:r>
        <w:rPr>
          <w:color w:val="000000"/>
          <w:sz w:val="24"/>
          <w:szCs w:val="24"/>
        </w:rPr>
        <w:t xml:space="preserve">Figyelembe véve azt, hogy az alkalmazott savas közegben a permanganátionok redukciójakor autokatalitikus hatású Mn</w:t>
      </w:r>
      <w:r>
        <w:rPr>
          <w:color w:val="000000"/>
          <w:position w:val="4"/>
          <w:sz w:val="21"/>
          <w:szCs w:val="21"/>
          <w:vertAlign w:val="superscript"/>
        </w:rPr>
        <w:t xml:space="preserve">2+</w:t>
      </w:r>
      <w:r>
        <w:rPr>
          <w:color w:val="000000"/>
          <w:sz w:val="24"/>
          <w:szCs w:val="24"/>
        </w:rPr>
        <w:t xml:space="preserve"> ionok keletkeznek, feltételeztük, hogy a vizsgált reakció is ilyen sajátságot mutat. A feltevést alátámasztotta az autokatalitikus sebességi egyenlet meglepően jó illeszkedése a kinetikai görbére. Emellett azt is megállapítottuk, hogy a Mn</w:t>
      </w:r>
      <w:r>
        <w:rPr>
          <w:color w:val="000000"/>
          <w:position w:val="4"/>
          <w:sz w:val="21"/>
          <w:szCs w:val="21"/>
          <w:vertAlign w:val="superscript"/>
        </w:rPr>
        <w:t xml:space="preserve">2+</w:t>
      </w:r>
      <w:r>
        <w:rPr>
          <w:color w:val="000000"/>
          <w:sz w:val="24"/>
          <w:szCs w:val="24"/>
        </w:rPr>
        <w:t xml:space="preserve">-ionok hatása nem nagy mértékű, tehát gyengén autokatalitikus reakcióról van szó.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35365">
    <w:multiLevelType w:val="hybridMultilevel"/>
    <w:lvl w:ilvl="0" w:tplc="71868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35365">
    <w:abstractNumId w:val="41835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269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