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DITRÓI</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Lente</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Improvement of calibration for stopped-flow instrument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methods for studying reactions with fast kinetics, one of them is the stopped-flow technique, which mixes the reactants by flushing them into a reaction chamber through a T-mixer and the flow is suddenly stopped. The main advantage of instrument is the low sample consumption and the fast mixing of the reagents, which is complete within 1 millisecond.</w:t>
      </w:r>
    </w:p>
    <w:p>
      <w:pPr>
        <w:pBdr/>
        <w:spacing w:before="240" w:after="240" w:line="240" w:lineRule="auto"/>
        <w:ind w:left="0" w:right="0"/>
        <w:jc w:val="left"/>
      </w:pPr>
      <w:r>
        <w:rPr>
          <w:color w:val="000000"/>
          <w:sz w:val="24"/>
          <w:szCs w:val="24"/>
        </w:rPr>
        <w:t xml:space="preserve">The stopped-flow apparatus has limitations: our measurements show that the maximum first-order rate constant that can be measured reliably in a direct way is about 500s</w:t>
      </w:r>
      <w:r>
        <w:rPr>
          <w:color w:val="000000"/>
          <w:position w:val="4"/>
          <w:sz w:val="21"/>
          <w:szCs w:val="21"/>
          <w:vertAlign w:val="superscript"/>
        </w:rPr>
        <w:t xml:space="preserve">-1</w:t>
      </w:r>
      <w:r>
        <w:rPr>
          <w:color w:val="000000"/>
          <w:sz w:val="24"/>
          <w:szCs w:val="24"/>
        </w:rPr>
        <w:t xml:space="preserve">. For faster reactions, corrections need to be applied, as mentioned in a publication in 1974. </w:t>
      </w:r>
      <w:r>
        <w:rPr>
          <w:color w:val="000000"/>
          <w:position w:val="4"/>
          <w:sz w:val="21"/>
          <w:szCs w:val="21"/>
          <w:vertAlign w:val="superscript"/>
        </w:rPr>
        <w:t xml:space="preserve">[1]</w:t>
      </w:r>
      <w:r>
        <w:rPr>
          <w:color w:val="000000"/>
          <w:sz w:val="24"/>
          <w:szCs w:val="24"/>
        </w:rPr>
        <w:t xml:space="preserve"> For the correction, it is necessary to measure some parameters of the apparatus itself in a process called calibration. During my work, I have studied two of calibration methods and compared them with the most favored DCIP-ascorbic acid calibration reaction, published in 1977. </w:t>
      </w:r>
      <w:r>
        <w:rPr>
          <w:color w:val="000000"/>
          <w:position w:val="4"/>
          <w:sz w:val="21"/>
          <w:szCs w:val="21"/>
          <w:vertAlign w:val="superscript"/>
        </w:rPr>
        <w:t xml:space="preserve">[2]</w:t>
      </w:r>
    </w:p>
    <w:p>
      <w:pPr>
        <w:pBdr/>
        <w:spacing w:before="240" w:after="240" w:line="240" w:lineRule="auto"/>
        <w:ind w:left="0" w:right="0"/>
        <w:jc w:val="left"/>
      </w:pPr>
      <w:r>
        <w:rPr>
          <w:color w:val="000000"/>
          <w:sz w:val="24"/>
          <w:szCs w:val="24"/>
        </w:rPr>
        <w:t xml:space="preserve">First, I studied a two-step reaction between 5, 5'-dithiobis-(2-nitrobenzoic acid) and thioglycerol that was published in 1980.</w:t>
      </w:r>
      <w:r>
        <w:rPr>
          <w:color w:val="000000"/>
          <w:position w:val="4"/>
          <w:sz w:val="21"/>
          <w:szCs w:val="21"/>
          <w:vertAlign w:val="superscript"/>
        </w:rPr>
        <w:t xml:space="preserve">[3]</w:t>
      </w:r>
      <w:r>
        <w:rPr>
          <w:color w:val="000000"/>
          <w:sz w:val="24"/>
          <w:szCs w:val="24"/>
        </w:rPr>
        <w:t xml:space="preserve"> I encountered some problems as the dead-time calculated by the literature procedure was obviously incorrect. During the measurements, the decomposition of the reagent was observable, which meant reproducibility problems. Another calibration reaction we studied is the reduction of the ferricyanide ion by ascorbic acid proposed in 1977. </w:t>
      </w:r>
      <w:r>
        <w:rPr>
          <w:color w:val="000000"/>
          <w:position w:val="4"/>
          <w:sz w:val="21"/>
          <w:szCs w:val="21"/>
          <w:vertAlign w:val="superscript"/>
        </w:rPr>
        <w:t xml:space="preserve">[2]</w:t>
      </w:r>
      <w:r>
        <w:rPr>
          <w:color w:val="000000"/>
          <w:sz w:val="24"/>
          <w:szCs w:val="24"/>
        </w:rPr>
        <w:t xml:space="preserve"> In contrast to the expectation based on the literature, the curves could only be fitted with double exponential functions. Moreover, reproducibility problems arose. Even so, the reaction and the method gave a reasonably correct dead time value.</w:t>
      </w:r>
    </w:p>
    <w:p>
      <w:pPr>
        <w:pBdr/>
        <w:spacing w:before="240" w:after="240" w:line="240" w:lineRule="auto"/>
        <w:ind w:left="0" w:right="0"/>
        <w:jc w:val="left"/>
      </w:pPr>
      <w:r>
        <w:rPr>
          <w:color w:val="000000"/>
          <w:sz w:val="24"/>
          <w:szCs w:val="24"/>
        </w:rPr>
        <w:t xml:space="preserve">Diffusion studies were also carried out on the apparatus and correlation between the velocity of the piston movement and the results were obtained. Faster flow resulted in better observed curves. Moreover, using small sample volumes, it was confirmed that diffusion form the stop syringe is more significant than from the reagent syringes.</w:t>
      </w:r>
    </w:p>
    <w:p>
      <w:pPr>
        <w:pBdr/>
        <w:spacing w:before="240" w:after="240" w:line="240" w:lineRule="auto"/>
        <w:ind w:left="0" w:right="0"/>
        <w:jc w:val="left"/>
      </w:pPr>
      <w:r>
        <w:rPr>
          <w:color w:val="000000"/>
          <w:sz w:val="24"/>
          <w:szCs w:val="24"/>
        </w:rPr>
        <w:t xml:space="preserve">[1] Lin, C. T., Rorabacher, D. B. J. Phys. Chem. 78, 305. (1974)</w:t>
      </w:r>
    </w:p>
    <w:p>
      <w:pPr>
        <w:pBdr/>
        <w:spacing w:before="240" w:after="240" w:line="240" w:lineRule="auto"/>
        <w:ind w:left="0" w:right="0"/>
        <w:jc w:val="left"/>
      </w:pPr>
      <w:r>
        <w:rPr>
          <w:color w:val="000000"/>
          <w:sz w:val="24"/>
          <w:szCs w:val="24"/>
        </w:rPr>
        <w:t xml:space="preserve">[2] Tonomura, B., Nakatani, N., Ohnishi, M., Yamaguchi-Ito, J., Hiromi, K.,</w:t>
      </w:r>
    </w:p>
    <w:p>
      <w:pPr>
        <w:pBdr/>
        <w:spacing w:before="240" w:after="240" w:line="240" w:lineRule="auto"/>
        <w:ind w:left="0" w:right="0"/>
        <w:jc w:val="left"/>
      </w:pPr>
      <w:r>
        <w:rPr>
          <w:color w:val="000000"/>
          <w:sz w:val="24"/>
          <w:szCs w:val="24"/>
        </w:rPr>
        <w:t xml:space="preserve">Analytical Biochemistry, 84, 370 (1978)</w:t>
      </w:r>
    </w:p>
    <w:p>
      <w:pPr>
        <w:pBdr/>
        <w:spacing w:before="240" w:after="240" w:line="240" w:lineRule="auto"/>
        <w:ind w:left="0" w:right="0"/>
        <w:jc w:val="left"/>
      </w:pPr>
      <w:r>
        <w:rPr>
          <w:color w:val="000000"/>
          <w:sz w:val="24"/>
          <w:szCs w:val="24"/>
        </w:rPr>
        <w:t xml:space="preserve">[3] Carlton Paul, Kasper Kirschner, Gernot Haenisch: Analytical Biochemistry, 101, 442. (1980)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59772">
    <w:multiLevelType w:val="hybridMultilevel"/>
    <w:lvl w:ilvl="0" w:tplc="55622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59772">
    <w:abstractNumId w:val="33759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81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