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RÁCZ</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Elek</w:t>
            </w:r>
          </w:p>
          <w:p w:rsidR="00DB4822" w:rsidRDefault="00DB4822" w:rsidP="00E11062">
            <w:pPr>
              <w:pStyle w:val="Konzulensek"/>
            </w:pPr>
            <w:r w:rsidRPr="00DB4822">
              <w:t>manager,  Science Port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Classification of medieval coins using X-ray fluorescent spectroscopy and multivariate data analysis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Since the appearance of the handheld instruments, XRF spectroscopy [1] has become frequently used in analytical and industrial chemistry for tracing metals and alloys. The method provides non-destructive analysis, and reveals information about the surface composition of alloys without any pretreatment.</w:t>
      </w:r>
    </w:p>
    <w:p>
      <w:pPr>
        <w:pBdr/>
        <w:spacing w:before="240" w:after="240" w:line="240" w:lineRule="auto"/>
        <w:ind w:left="0" w:right="0"/>
        <w:jc w:val="left"/>
      </w:pPr>
      <w:r>
        <w:rPr>
          <w:color w:val="000000"/>
          <w:sz w:val="24"/>
          <w:szCs w:val="24"/>
        </w:rPr>
        <w:t xml:space="preserve">These properties make the method very effective for the study of sensitive archeological artefacts. By determining the elemental composition of an object, one can find out information about the used ore and its origin, as well as the age of the artifact. Furthermore conclusions can be drawn about economic history, based on the changes of elemental concentrations over time in the coins.</w:t>
      </w:r>
    </w:p>
    <w:p>
      <w:pPr>
        <w:pBdr/>
        <w:spacing w:before="240" w:after="240" w:line="240" w:lineRule="auto"/>
        <w:ind w:left="0" w:right="0"/>
        <w:jc w:val="left"/>
      </w:pPr>
      <w:r>
        <w:rPr>
          <w:color w:val="000000"/>
          <w:sz w:val="24"/>
          <w:szCs w:val="24"/>
        </w:rPr>
        <w:t xml:space="preserve">A set of silver coins from the collection of Déri Museum Debrecen was examined by X-ray fluorescent elemental analysis. The coins stem from the age of Árpád-house and the following dynasties. The aim of research was to assign the coins to different ages with the best possible precision, based on the acquired chemical information, and to build models, which can group the coins according to their historical periods. Principal component analysis, linear discriminant analysis, partial least squares discriminant analysis, classification and regression trees [2] and object target rotation [3] methods were applied to reveal dominant pattern in the data and classify the coins into several groups. We have also identified those components, which are are useful for the classification of the coins.</w:t>
      </w:r>
    </w:p>
    <w:p>
      <w:pPr>
        <w:pBdr/>
        <w:spacing w:before="240" w:after="240" w:line="240" w:lineRule="auto"/>
        <w:ind w:left="0" w:right="0"/>
        <w:jc w:val="left"/>
      </w:pPr>
      <w:r>
        <w:rPr>
          <w:color w:val="000000"/>
          <w:sz w:val="24"/>
          <w:szCs w:val="24"/>
        </w:rPr>
        <w:t xml:space="preserve">With the coins divided into two groups according to adequate historical periods, we have obtained a correct classification (76-78%) based on the chemical compositions. Moreover object target rotation has revealed a strong correlation between the coins from the early Árpád dynasty and the later Árpád dynasty.</w:t>
      </w:r>
    </w:p>
    <w:p>
      <w:pPr>
        <w:pBdr/>
        <w:spacing w:before="240" w:after="240" w:line="240" w:lineRule="auto"/>
        <w:ind w:left="0" w:right="0"/>
        <w:jc w:val="left"/>
      </w:pPr>
      <w:r>
        <w:rPr>
          <w:color w:val="000000"/>
          <w:sz w:val="24"/>
          <w:szCs w:val="24"/>
        </w:rPr>
        <w:br/>
        <w:t xml:space="preserve">Our work showed, that evaluating composition data with chemometric methods might reveal “hidden” coherences and can provide scientifically valid results to aid the archaeologists and numismatists in classifying the coins according to their times of origin.</w:t>
      </w:r>
    </w:p>
    <w:p>
      <w:pPr>
        <w:pBdr/>
        <w:spacing w:before="240" w:after="240" w:line="240" w:lineRule="auto"/>
        <w:ind w:left="0" w:right="0"/>
        <w:jc w:val="left"/>
      </w:pPr>
      <w:r>
        <w:rPr>
          <w:color w:val="000000"/>
          <w:sz w:val="24"/>
          <w:szCs w:val="24"/>
        </w:rPr>
        <w:t xml:space="preserve">[1.] Beckhoff B., Kanngießer B., Langhoff N., Wedell R., Wolff H. - Handbook of Practical X-ray Fluorescence Analysis. Springer, Berlin, 2006</w:t>
      </w:r>
    </w:p>
    <w:p>
      <w:pPr>
        <w:pBdr/>
        <w:spacing w:before="240" w:after="240" w:line="240" w:lineRule="auto"/>
        <w:ind w:left="0" w:right="0"/>
        <w:jc w:val="left"/>
      </w:pPr>
      <w:r>
        <w:rPr>
          <w:color w:val="000000"/>
          <w:sz w:val="24"/>
          <w:szCs w:val="24"/>
        </w:rPr>
        <w:t xml:space="preserve">[2.] T. Hastie, R. Tibshirani, J. H. Friedman – The Elements of Statistical Leraning, Springer, 2001</w:t>
      </w:r>
    </w:p>
    <w:p>
      <w:pPr>
        <w:pBdr/>
        <w:spacing w:before="240" w:after="240" w:line="240" w:lineRule="auto"/>
        <w:ind w:left="0" w:right="0"/>
        <w:jc w:val="left"/>
      </w:pPr>
      <w:r>
        <w:rPr>
          <w:color w:val="000000"/>
          <w:sz w:val="24"/>
          <w:szCs w:val="24"/>
        </w:rPr>
        <w:t xml:space="preserve">[3.] Olav M. Kvalheim - Latent-Structure Decompositions (Projections) of Multivariate Data, Chemometrics and Intelligent Luboratoty Systems, 2, 283-290, 1987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72859">
    <w:multiLevelType w:val="hybridMultilevel"/>
    <w:lvl w:ilvl="0" w:tplc="66134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72859">
    <w:abstractNumId w:val="88572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699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