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HADHÁZI</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Borbás Ph.D. habil. </w:t>
            </w:r>
          </w:p>
          <w:p w:rsidR="00DB4822" w:rsidRDefault="00DB4822" w:rsidP="00E11062">
            <w:pPr>
              <w:pStyle w:val="Konzulensek"/>
            </w:pPr>
            <w:r w:rsidRPr="00DB4822">
              <w:t>associate professor,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on the relative stability of benzyl-type protecting groups on carbohydrates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simplest transformation of sugars (carbohydrate derivatives) demands protecting groups' application because of their polyfunctional features. Among the ether-, ester- and acetal-groups applied universally in the carbohydrate chemistry, benzyl-ethers are used especially often, since they are stable under basic conditions, increase the reactivity in glycosylation, and their removal does not require drastic conditions.</w:t>
      </w:r>
    </w:p>
    <w:p>
      <w:pPr>
        <w:pBdr/>
        <w:spacing w:before="240" w:after="240" w:line="240" w:lineRule="auto"/>
        <w:ind w:left="0" w:right="0"/>
        <w:jc w:val="left"/>
      </w:pPr>
      <w:r>
        <w:rPr>
          <w:color w:val="000000"/>
          <w:sz w:val="24"/>
          <w:szCs w:val="24"/>
        </w:rPr>
        <w:t xml:space="preserve">The aim of the research work was the synthesis of (1-naphthyl)methyl- and (2-naphthyl)methyl-derivatives of monosaccharides, as well as the examination of the relative stability of ether-groups [(9-antracenyl)methyl-, (1-naphthyl)methyl-, (2-naphthyl)methyl-, p-chlorobenzyl-, diphenylmethyl-, p-methoxybenzyl- ] against N-methyl-p-toluenesulfonamide-trifluoromethanesulfonic acid (NMPTSA/TfOH) system. Test reactions of the arylmetyl substitued sugar derivatives with NMPTSA/TfOH monitored by TLC revealed that diphenylmethyl- and p-methoxybenzyl-group could be totally removed in half an hour, independently of the position of the ether group, and there was no considerable difference in the reactivity of (1-naphthyl)methyl- vs. (2-naphthyl)methyl-derivatives.</w:t>
      </w:r>
    </w:p>
    <w:p>
      <w:pPr>
        <w:pBdr/>
        <w:spacing w:before="240" w:after="240" w:line="240" w:lineRule="auto"/>
        <w:ind w:left="0" w:right="0"/>
        <w:jc w:val="left"/>
      </w:pPr>
      <w:r>
        <w:rPr>
          <w:color w:val="000000"/>
          <w:sz w:val="24"/>
          <w:szCs w:val="24"/>
        </w:rPr>
        <w:t xml:space="preserve">In the course of an examination of a methyl α-L-rhamnopyranoside derivative we were capable to split off </w:t>
      </w:r>
      <w:r>
        <w:rPr>
          <w:color w:val="000000"/>
          <w:position w:val="4"/>
          <w:sz w:val="21"/>
          <w:szCs w:val="21"/>
          <w:vertAlign w:val="superscript"/>
        </w:rPr>
        <w:t xml:space="preserve">1</w:t>
      </w:r>
      <w:r>
        <w:rPr>
          <w:color w:val="000000"/>
          <w:sz w:val="24"/>
          <w:szCs w:val="24"/>
        </w:rPr>
        <w:t xml:space="preserve">NAP-group selectively while </w:t>
      </w:r>
      <w:r>
        <w:rPr>
          <w:color w:val="000000"/>
          <w:position w:val="4"/>
          <w:sz w:val="21"/>
          <w:szCs w:val="21"/>
          <w:vertAlign w:val="superscript"/>
        </w:rPr>
        <w:t xml:space="preserve">2</w:t>
      </w:r>
      <w:r>
        <w:rPr>
          <w:color w:val="000000"/>
          <w:sz w:val="24"/>
          <w:szCs w:val="24"/>
        </w:rPr>
        <w:t xml:space="preserve">NAP-group remained intact, and, despite the low yield, it gave rise to hope. However, it came to light soon, that following the regeneration of the hydroxyl-groups in the presence of NMPTSA/TfOH reagent combination, an opportunity presents itself to constitute 1,6-anhydro-compound depending on the position of OH-group and the quality of the aglycone. Unfortunately, we did not manage to utilize the reagents for the formation of 1,6-anhydro derivatives as we expected.</w:t>
      </w:r>
    </w:p>
    <w:p>
      <w:pPr>
        <w:pBdr/>
        <w:spacing w:before="240" w:after="240" w:line="240" w:lineRule="auto"/>
        <w:ind w:left="0" w:right="0"/>
        <w:jc w:val="left"/>
      </w:pPr>
      <w:r>
        <w:rPr>
          <w:color w:val="000000"/>
          <w:sz w:val="24"/>
          <w:szCs w:val="24"/>
        </w:rPr>
        <w:t xml:space="preserve">By the investigation of a new model compound, we could finally understand that there are not any significant differences in the cleavage of NAP-groups under these conditions. After all, it was found, that the change of the quality or the quantity of the reagents does not improve the conversion or the yield. So the reaction – in this form – is completely unsuitable for the production of 1,6-anhydro compounds, also onto the exploitation of structural differences of </w:t>
      </w:r>
      <w:r>
        <w:rPr>
          <w:color w:val="000000"/>
          <w:position w:val="4"/>
          <w:sz w:val="21"/>
          <w:szCs w:val="21"/>
          <w:vertAlign w:val="superscript"/>
        </w:rPr>
        <w:t xml:space="preserve">1</w:t>
      </w:r>
      <w:r>
        <w:rPr>
          <w:color w:val="000000"/>
          <w:sz w:val="24"/>
          <w:szCs w:val="24"/>
        </w:rPr>
        <w:t xml:space="preserve">NAP- and </w:t>
      </w:r>
      <w:r>
        <w:rPr>
          <w:color w:val="000000"/>
          <w:position w:val="4"/>
          <w:sz w:val="21"/>
          <w:szCs w:val="21"/>
          <w:vertAlign w:val="superscript"/>
        </w:rPr>
        <w:t xml:space="preserve">2</w:t>
      </w:r>
      <w:r>
        <w:rPr>
          <w:color w:val="000000"/>
          <w:sz w:val="24"/>
          <w:szCs w:val="24"/>
        </w:rPr>
        <w:t xml:space="preserve">NAP-groups.</w:t>
      </w:r>
    </w:p>
    <w:p>
      <w:pPr>
        <w:pBdr/>
        <w:spacing w:before="240" w:after="240" w:line="240" w:lineRule="auto"/>
        <w:ind w:left="0" w:right="0"/>
        <w:jc w:val="left"/>
      </w:pPr>
      <w:r>
        <w:rPr>
          <w:color w:val="000000"/>
          <w:sz w:val="24"/>
          <w:szCs w:val="24"/>
        </w:rPr>
        <w:t xml:space="preserve">At the same time, applying DDQ as the reagent the </w:t>
      </w:r>
      <w:r>
        <w:rPr>
          <w:color w:val="000000"/>
          <w:position w:val="4"/>
          <w:sz w:val="21"/>
          <w:szCs w:val="21"/>
          <w:vertAlign w:val="superscript"/>
        </w:rPr>
        <w:t xml:space="preserve">2</w:t>
      </w:r>
      <w:r>
        <w:rPr>
          <w:color w:val="000000"/>
          <w:sz w:val="24"/>
          <w:szCs w:val="24"/>
        </w:rPr>
        <w:t xml:space="preserve">NAP-group could be selectively removed in the presence of </w:t>
      </w:r>
      <w:r>
        <w:rPr>
          <w:color w:val="000000"/>
          <w:position w:val="4"/>
          <w:sz w:val="21"/>
          <w:szCs w:val="21"/>
          <w:vertAlign w:val="superscript"/>
        </w:rPr>
        <w:t xml:space="preserve">1</w:t>
      </w:r>
      <w:r>
        <w:rPr>
          <w:color w:val="000000"/>
          <w:sz w:val="24"/>
          <w:szCs w:val="24"/>
        </w:rPr>
        <w:t xml:space="preserve">NAP-ether.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47043">
    <w:multiLevelType w:val="hybridMultilevel"/>
    <w:lvl w:ilvl="0" w:tplc="64536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47043">
    <w:abstractNumId w:val="85647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489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