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HASAN KARADAG</w:t>
            </w:r>
          </w:p>
          <w:p w:rsidR="00C275A3" w:rsidRDefault="00A96AEC" w:rsidP="00C275A3">
            <w:pPr>
              <w:pStyle w:val="Hallgatokepzes"/>
            </w:pPr>
            <w:r>
              <w:t>Ének-zene</w:t>
            </w:r>
            <w:r>
              <w:br/>
            </w:r>
            <w:r w:rsidR="00E77B23">
              <w:t>Egyéb, 1. félév</w:t>
            </w:r>
          </w:p>
          <w:p w:rsidR="00C265CE" w:rsidRPr="009E5FF1" w:rsidRDefault="00E77B23" w:rsidP="00C275A3">
            <w:pPr>
              <w:pStyle w:val="Hallgatokepzes"/>
              <w:rPr>
                <w:b/>
                <w:caps/>
              </w:rPr>
            </w:pPr>
            <w:r>
              <w:t>Szegedi Tudományegyetem</w:t>
            </w:r>
            <w:r w:rsidR="00C275A3">
              <w:br/>
            </w:r>
            <w:r w:rsidR="00DB4822">
              <w:t>Juhász Gyula Pedagógusképző Kar</w:t>
            </w:r>
          </w:p>
        </w:tc>
        <w:tc>
          <w:tcPr>
            <w:tcW w:w="4914" w:type="dxa"/>
          </w:tcPr>
          <w:p w:rsidR="00DB4822" w:rsidRPr="00DB4822" w:rsidRDefault="00DB4822" w:rsidP="004D7940">
            <w:pPr>
              <w:pStyle w:val="Hallgatonev"/>
              <w:rPr>
                <w:caps/>
              </w:rPr>
            </w:pPr>
            <w:r w:rsidRPr="00DB4822">
              <w:rPr>
                <w:caps/>
              </w:rPr>
              <w:t>MEHMET ERMAN METE</w:t>
            </w:r>
          </w:p>
          <w:p w:rsidR="00DB4822" w:rsidRDefault="00C275A3" w:rsidP="004D7940">
            <w:pPr>
              <w:pStyle w:val="Hallgatokepzes"/>
            </w:pPr>
            <w:r>
              <w:t>Ének-zene</w:t>
            </w:r>
            <w:r w:rsidR="00A96AEC">
              <w:br/>
              <w:t>BA, 1. félév</w:t>
            </w:r>
          </w:p>
          <w:p w:rsidR="00DB4822" w:rsidRDefault="00DB4822" w:rsidP="004D7940">
            <w:pPr>
              <w:pStyle w:val="Hallgatointezmeny-kar"/>
            </w:pPr>
            <w:r>
              <w:t>Szegedi Tudományegyetem</w:t>
            </w:r>
          </w:p>
          <w:p w:rsidR="00C265CE" w:rsidRPr="009E5FF1" w:rsidRDefault="00DB4822" w:rsidP="004D7940">
            <w:pPr>
              <w:pStyle w:val="Hallgatointezmeny-kar"/>
              <w:rPr>
                <w:b/>
                <w:caps/>
              </w:rPr>
            </w:pPr>
            <w:r>
              <w:t>Juhász Gyula Pedagógusképző Kar</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PIECZARKA FLÓRA</w:t>
            </w:r>
          </w:p>
          <w:p w:rsidR="00C275A3" w:rsidRDefault="00A96AEC" w:rsidP="00C275A3">
            <w:pPr>
              <w:pStyle w:val="Hallgatokepzes"/>
            </w:pPr>
            <w:r>
              <w:t>Gyógypedagógia</w:t>
            </w:r>
            <w:r>
              <w:br/>
            </w:r>
            <w:r w:rsidR="00E77B23">
              <w:t>BA, 3. félév</w:t>
            </w:r>
          </w:p>
          <w:p w:rsidR="00C265CE" w:rsidRPr="009E5FF1" w:rsidRDefault="00E77B23" w:rsidP="00C275A3">
            <w:pPr>
              <w:pStyle w:val="Hallgatokepzes"/>
              <w:rPr>
                <w:b/>
                <w:caps/>
              </w:rPr>
            </w:pPr>
            <w:r>
              <w:t>Szegedi Tudományegyetem</w:t>
            </w:r>
            <w:r w:rsidR="00C275A3">
              <w:br/>
            </w:r>
            <w:r w:rsidR="00DB4822">
              <w:t>Juhász Gyula Pedagógusképző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Asztalos Bence</w:t>
            </w:r>
          </w:p>
          <w:p w:rsidR="00DB4822" w:rsidRDefault="00DB4822" w:rsidP="00E11062">
            <w:pPr>
              <w:pStyle w:val="Konzulensek"/>
            </w:pPr>
            <w:r w:rsidRPr="00DB4822">
              <w:t>adjunktus, SZTE JGYPK</w:t>
            </w:r>
          </w:p>
        </w:tc>
      </w:tr>
      <w:tr w:rsidR="00DB4822" w:rsidTr="00DB4822">
        <w:tc>
          <w:tcPr>
            <w:tcW w:w="9854" w:type="dxa"/>
          </w:tcPr>
          <w:p w:rsidR="00DB4822" w:rsidRPr="00DB4822" w:rsidRDefault="00DB4822" w:rsidP="004D7940">
            <w:pPr>
              <w:pStyle w:val="Konzulensek"/>
            </w:pPr>
            <w:r w:rsidRPr="00DB4822">
              <w:t>Dr. Dombi Józsefné</w:t>
            </w:r>
          </w:p>
          <w:p w:rsidR="00DB4822" w:rsidRDefault="00DB4822" w:rsidP="00E11062">
            <w:pPr>
              <w:pStyle w:val="Konzulensek"/>
            </w:pPr>
            <w:r w:rsidRPr="00DB4822">
              <w:t>főiskolai tanár,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Turkish Folk Music</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OMDK dolgozatunk rövid bevezetés a török népzenébe. Földrajzi és történelmi áttekintésen keresztül mutatjuk be a népdalok előadóit, megnevezzük az alkalmakat, melyekhez ezeknek a zenéknek a születése, előadása köthető.</w:t>
      </w:r>
    </w:p>
    <w:p>
      <w:pPr>
        <w:widowControl w:val="on"/>
        <w:pBdr/>
        <w:spacing w:before="240" w:after="240" w:line="240" w:lineRule="auto"/>
        <w:ind w:left="0" w:right="0"/>
        <w:jc w:val="left"/>
      </w:pPr>
      <w:r>
        <w:rPr>
          <w:color w:val="000000"/>
          <w:sz w:val="24"/>
          <w:szCs w:val="24"/>
        </w:rPr>
        <w:t xml:space="preserve">Ismertetjük a Türkü típusait, változatai közötti különbséget, melyet gyakran hibásan értelmeznek és magyaráznak. Az egyes fejezetekben kitérünk szerkezeti elemekre, az előadás módjára, valamint különböző tájegységekre. Népzenénk nyugati zenei kultúrától eltérő jellegzetes vonásaira hívjuk fel a figyelmet, mely a török hangszerekben, az énekes és hangszeres technikában, a különféle hangsúlyokban, aszimmetrikus ritmusokban, hangsorokban mutatkozik meg. Több mint 15 modális hangsorról teszünk említést, melyek félhangnál kisebb hangközöket tartalmaznak, hiszen a török népzenében egy nagy szekund lépés között gyakran három-négy hangközlépés szerepel még.</w:t>
      </w:r>
    </w:p>
    <w:p>
      <w:pPr>
        <w:widowControl w:val="on"/>
        <w:pBdr/>
        <w:spacing w:before="240" w:after="240" w:line="240" w:lineRule="auto"/>
        <w:ind w:left="0" w:right="0"/>
        <w:jc w:val="left"/>
      </w:pPr>
      <w:r>
        <w:rPr>
          <w:color w:val="000000"/>
          <w:sz w:val="24"/>
          <w:szCs w:val="24"/>
        </w:rPr>
        <w:t xml:space="preserve">Munkánkban igyekszünk bevezetni az olvasót a török népzene igen változatos metrumjaiba, melyekben az egyszerűbb 2/4, 4/4 és 3/4 mellett az 5/8, 7/8, 9/8, 7/4, és 5/4-es ütemmutatók is teljesen megszokottak. Egyszerűbb alapritmusok kombinációiból olyan komplex ritmusok alakulnak ki, melyek alkalmazkodnak a 8/8, 10/8, 15/8, 7/16 vagy 12/8-os ütemekhez. A dolgozatot a török népi hangszerek részletes bemutatásával zárjuk.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449914">
    <w:multiLevelType w:val="hybridMultilevel"/>
    <w:lvl w:ilvl="0" w:tplc="318229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449914">
    <w:abstractNumId w:val="784499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508189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