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ALEXANDRA KIS</w:t>
            </w:r>
          </w:p>
          <w:p w:rsidR="00C275A3" w:rsidRDefault="00A96AEC" w:rsidP="00C275A3">
            <w:pPr>
              <w:pStyle w:val="Hallgatokepzes"/>
            </w:pPr>
            <w:r>
              <w:t>Pre-School Teacher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University</w:t>
            </w:r>
            <w:r w:rsidR="00C275A3">
              <w:br/>
            </w:r>
            <w:r w:rsidR="00DB4822">
              <w:t>Faculty of Applied Arts and Pedagogy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Ignác Bontovics</w:t>
            </w:r>
          </w:p>
          <w:p w:rsidR="00DB4822" w:rsidRDefault="00DB4822" w:rsidP="00E11062">
            <w:pPr>
              <w:pStyle w:val="Konzulensek"/>
            </w:pPr>
            <w:r w:rsidRPr="00DB4822">
              <w:t> professor’s assistant, SZIE ABPK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 option for demonstrating biomathematics in lower elementary schoo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author addresses the question of how to integrate the basic concepts of genetics and biomathematics into the curriculum of elementary school teaching. She prepared a model lesson design for four-grade children and tested her ideas in the elementary school of the Szent István University Faculty of Applied Arts and Education. This up-to-date approach may help children to get familiar with science and display their talents in lower elementary school.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802297">
    <w:multiLevelType w:val="hybridMultilevel"/>
    <w:lvl w:ilvl="0" w:tplc="926812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802297">
    <w:abstractNumId w:val="818022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01157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