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KAPITÁNY</w:t>
            </w:r>
          </w:p>
          <w:p w:rsidR="00C275A3" w:rsidRDefault="00A96AEC" w:rsidP="00C275A3">
            <w:pPr>
              <w:pStyle w:val="Hallgatokepzes"/>
            </w:pPr>
            <w:r>
              <w:t>history-archival science</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Pajkossy</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Conceptions of the development of transportation in the projects of the national committee of 1828–1830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by using a comprehensive, but from this point of view never analysed source material, I try to reveal how people thought about the development of transportation and its related topics in the beginning of the Reform Age.</w:t>
      </w:r>
    </w:p>
    <w:p>
      <w:pPr>
        <w:pBdr/>
        <w:spacing w:before="240" w:after="240" w:line="240" w:lineRule="auto"/>
        <w:ind w:left="0" w:right="0"/>
        <w:jc w:val="left"/>
      </w:pPr>
      <w:r>
        <w:rPr>
          <w:color w:val="000000"/>
          <w:sz w:val="24"/>
          <w:szCs w:val="24"/>
        </w:rPr>
        <w:t xml:space="preserve">The project of the national committee (regnicolaris deputatio) assigned by the Diet of 1825–7 contained ten articles and their motivations related to the development of transportation and one other related to the public fund (fundus publicus) that was going to be set up for investments with public benefit. The aim of this study is to present and analyse this report, however, in order to widen the research I also investigated the public opinion of the counties by analysing their replies to the report – these are mainly handwritten documents kept in the National Archives of Hungary.</w:t>
      </w:r>
    </w:p>
    <w:p>
      <w:pPr>
        <w:pBdr/>
        <w:spacing w:before="240" w:after="240" w:line="240" w:lineRule="auto"/>
        <w:ind w:left="0" w:right="0"/>
        <w:jc w:val="left"/>
      </w:pPr>
      <w:r>
        <w:rPr>
          <w:color w:val="000000"/>
          <w:sz w:val="24"/>
          <w:szCs w:val="24"/>
        </w:rPr>
        <w:t xml:space="preserve">Although, most of the proposals of the committee – including the commercial project as well – were considered to be conservative by contemporaries and by historians too, yet some of its transportation-related propositions had some thoughts that were initiative and modern. Examining the documents we can observe that the commercial project and the replies given by the counties are not only summarise the problems of transportation but also tell us about the changes of public thinking. By analysing the opinion of the counties we can reveal the contradictions between the wish to retain the privileges of the estates and the recognition that the nobles also have to support the development of the transportation. The customs duties paid equally by nobles and commoners, the problems of estates’ contribution to the public fund and the intention to reduce commoners’ labour in road construction works make this proposal part of the great aspirations of the Reform Age: giving up the tax exemption of nobility and the reconciliation of interests.</w:t>
      </w:r>
    </w:p>
    <w:p>
      <w:pPr>
        <w:pBdr/>
        <w:spacing w:before="240" w:after="240" w:line="240" w:lineRule="auto"/>
        <w:ind w:left="0" w:right="0"/>
        <w:jc w:val="left"/>
      </w:pPr>
      <w:r>
        <w:rPr>
          <w:color w:val="000000"/>
          <w:sz w:val="24"/>
          <w:szCs w:val="24"/>
        </w:rPr>
        <w:t xml:space="preserve">Though this project has never been added to the agenda, it inspired some of the more significant acts of the Diet of 1832–6 such as the ones of the permanent bridge between Pest and Buda and the favours given to railway, canal and bridge builder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64799">
    <w:multiLevelType w:val="hybridMultilevel"/>
    <w:lvl w:ilvl="0" w:tplc="53609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64799">
    <w:abstractNumId w:val="73464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535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