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HELGA ANGELOVICS</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Dobszay</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activities of Miklós Vay, Royal Commissioner of Dearth Affairs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want to present a relatively short sub-period of an exceptionally prominent conservative politician of the 19th century, Baron Miklós Vay’s (1802- 1894) activities, when he worked as the Royal Commissioner of Dearth Affairs in 1847 in North-Hungarian and Upper-Hungarian counties– his career is worth and still waits to be treated in detail.</w:t>
      </w:r>
    </w:p>
    <w:p>
      <w:pPr>
        <w:pBdr/>
        <w:spacing w:before="240" w:after="240" w:line="240" w:lineRule="auto"/>
        <w:ind w:left="0" w:right="0"/>
        <w:jc w:val="left"/>
      </w:pPr>
      <w:r>
        <w:rPr>
          <w:color w:val="000000"/>
          <w:sz w:val="24"/>
          <w:szCs w:val="24"/>
        </w:rPr>
        <w:t xml:space="preserve">As it has not yet been analyzed, we can get to know his activities only from the relatively small amount of archival sources and on the basis of few records. We can only give a general picture of Vay’s commissioner activities from these archival documents, - which is important in itself, too, and can also provide useful information perhaps for writing a complete Vay-biography in the future.</w:t>
      </w:r>
    </w:p>
    <w:p>
      <w:pPr>
        <w:pBdr/>
        <w:spacing w:before="240" w:after="240" w:line="240" w:lineRule="auto"/>
        <w:ind w:left="0" w:right="0"/>
        <w:jc w:val="left"/>
      </w:pPr>
      <w:r>
        <w:rPr>
          <w:color w:val="000000"/>
          <w:sz w:val="24"/>
          <w:szCs w:val="24"/>
        </w:rPr>
        <w:t xml:space="preserve">In my work I have focused my attention on describing his activities in the light of the extent he was able to meet the expectations formulated at the time of his appointment. As Vay’s person working as a royal commissioner is in the centre of our research, I presented the practice of crisis management and social care policy in the reform period highlighting with some typical examples.</w:t>
      </w:r>
    </w:p>
    <w:p>
      <w:pPr>
        <w:pBdr/>
        <w:spacing w:before="240" w:after="240" w:line="240" w:lineRule="auto"/>
        <w:ind w:left="0" w:right="0"/>
        <w:jc w:val="left"/>
      </w:pPr>
      <w:r>
        <w:rPr>
          <w:color w:val="000000"/>
          <w:sz w:val="24"/>
          <w:szCs w:val="24"/>
        </w:rPr>
        <w:t xml:space="preserve">Based on the sources, we can conclude that the effectiveness of the central measures to overcome the dearth was further complicated – besides the state funds deficiency (350 000 silver florins) – by the fact that on the one hand we did not have a professional, advanced public administration, we lacked the necessary organizational and institutional frameworks, and on the other hand, it remained the task of the local authorities to help the starving, to provide the necessary seed-corn, while helping the poorest was thought to be the competence of individuals and charity organizations.</w:t>
      </w:r>
    </w:p>
    <w:p>
      <w:pPr>
        <w:pBdr/>
        <w:spacing w:before="240" w:after="240" w:line="240" w:lineRule="auto"/>
        <w:ind w:left="0" w:right="0"/>
        <w:jc w:val="left"/>
      </w:pPr>
      <w:r>
        <w:rPr>
          <w:color w:val="000000"/>
          <w:sz w:val="24"/>
          <w:szCs w:val="24"/>
        </w:rPr>
        <w:t xml:space="preserve">We have to evaluate Vay’s activities taking all of these factors into account. We can conclude that under the given circumstances and situations he did a successful job, because the fields were mostly sown, following the measures taken in advance for good quality of the crop and of course also thank to the climatic factors, in 1847 there was finally ​​a satisfactory harvest. As a result starvation and emigration also decreased. Life slowly returned to normal.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01089">
    <w:multiLevelType w:val="hybridMultilevel"/>
    <w:lvl w:ilvl="0" w:tplc="89071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01089">
    <w:abstractNumId w:val="70601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54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