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TANGL</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Czoch</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Kőszeg and its garrison. The military's role in the development of a small town in the first half of the age of dualism (1867-1889)</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releation between the military and the town (and in general the military and the society) is one of the most poorly researched fields of the Hungarian historiography. Only few articles and studies have been published, most of which (partly for obvious historical reasons) concern the early modern age. On the other hand the 19th century – and the age of the Austro-Hungarian dualism within – is a nearly untouched area of the Hungarian historiography up to the present day, in spite of the fact that, thanks to the constructions of barracks, the military appeared in most settlements in the last tierce of this century.</w:t>
      </w:r>
      <w:r>
        <w:rPr>
          <w:color w:val="000000"/>
          <w:sz w:val="24"/>
          <w:szCs w:val="24"/>
        </w:rPr>
        <w:br/>
        <w:t xml:space="preserve">The purpose of this work is to present the role of the military garrison in the financial and economic life of the towns in the age of dualism by illustrating my points with the example of Kőszeg. Kőszeg is one of the Hungarian settlements with great military traditions. Int he history of Kőszeg the army played a decisive role for centuries. In the second half of the 19th century the significance its garrisons became even more considerably, because the declining town saw the military as a way to solve for its economic problems. However, as a result of the changes in the period, Kőszeg had lost most of its garrisons by 1889, and it had to seek a radically different solution to its economic problems.</w:t>
      </w:r>
      <w:r>
        <w:rPr>
          <w:color w:val="000000"/>
          <w:sz w:val="24"/>
          <w:szCs w:val="24"/>
        </w:rPr>
        <w:br/>
        <w:t xml:space="preserve">I divided my work into four parts. First, I present the progress of Kőszeg in the 19th century with the help of literature, then I review the contemporary practice and the legal background of military quartering, as well as the stationing corpses of the Common Army and Honvédség. After that I analyze not only the effect of the military quartering on the budget of the town, but also the interest of the citizenry. In the end I write about the reasons for the transfer of the military corpses and the effects of the loss of its garrison.</w:t>
      </w:r>
      <w:r>
        <w:rPr>
          <w:color w:val="000000"/>
          <w:sz w:val="24"/>
          <w:szCs w:val="24"/>
        </w:rPr>
        <w:br/>
        <w:t xml:space="preserve">In my researches first of all I used the contemporary press and the documents of the Archives of Vas County, though in the latter case the research was made more difficult by the fact, that in the beggining of the 20th century most of the files from period of dualism were sorted out of the archives in Kőszeg. Because the town had municipal law till the year 1876, the files of the Minister of Home Affairs in the National Archives of Hungary also meant great help. On the other hand the documents located in the Military Archives only limited helped my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84188">
    <w:multiLevelType w:val="hybridMultilevel"/>
    <w:lvl w:ilvl="0" w:tplc="27319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84188">
    <w:abstractNumId w:val="698841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89843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