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BAYER</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Szívós</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settings and the formation of the local identity in the Baross Gábor estate (1905-1950)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„Baross Gábor telep” (Baross Gábor estate) founded in the beginning of the 20th century, near Budapest. This area belonged to „Nagytétény”, a Kraut village, but there was almost 3 kilometers length between the parish and the new estate. In contrast to „Nagytétény”, the residents of the estate were mostly Hungarian bourgeoisies from Budapest and workers. They originated a “Polgári Kör” (civil organization), and began to establish an elementary school, and organize the civil and cultural life of the estate.</w:t>
      </w:r>
      <w:r>
        <w:rPr>
          <w:color w:val="000000"/>
          <w:sz w:val="24"/>
          <w:szCs w:val="24"/>
        </w:rPr>
        <w:br/>
        <w:t xml:space="preserve">“Nagytétény” wasn’t really interested in the improvement of the estate, as well as the estate was interested only in the self-development. The foundation and expansion of new establishments (for example the Catholic church or the extension of the elementary school) were the formal reasons of the conflict between the village and the estate. The conflicts made stronger the local identity of the “Baross Gábor telep,” so much so that the estate tried to separate itself from the village.</w:t>
      </w:r>
      <w:r>
        <w:rPr>
          <w:color w:val="000000"/>
          <w:sz w:val="24"/>
          <w:szCs w:val="24"/>
        </w:rPr>
        <w:br/>
        <w:t xml:space="preserve">Why was there such a strong local identity? What are the reasons of the antagonism between the village and the estate? In my opinion there are two reasons.</w:t>
      </w:r>
      <w:r>
        <w:rPr>
          <w:color w:val="000000"/>
          <w:sz w:val="24"/>
          <w:szCs w:val="24"/>
        </w:rPr>
        <w:br/>
        <w:t xml:space="preserve">The first one is the physical distance: “Budafok,” a town and Budapest, the capital had bigger prestige than Nagytétény, and they had better traffic service. Nagytétény was in the opposite way. The second one is the civil movement: the inhabitants of the estate organized themselves, they had common goals and forums to contact themselves. It is an important factor of the forming of the local identity, what was firmed by the social and ethnical difference with the village in the beginning.</w:t>
      </w:r>
      <w:r>
        <w:rPr>
          <w:color w:val="000000"/>
          <w:sz w:val="24"/>
          <w:szCs w:val="24"/>
        </w:rPr>
        <w:br/>
        <w:t xml:space="preserve">“Baross Gábor telep,” “Nagytétény,” “Budatétény” and “Budafok” are the 22nd district of Budapest since 1950.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51945">
    <w:multiLevelType w:val="hybridMultilevel"/>
    <w:lvl w:ilvl="0" w:tplc="27798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51945">
    <w:abstractNumId w:val="10751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525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