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ÁKOS FÓRIS</w:t>
            </w:r>
          </w:p>
          <w:p w:rsidR="00C275A3" w:rsidRDefault="00A96AEC" w:rsidP="00C275A3">
            <w:pPr>
              <w:pStyle w:val="Hallgatokepzes"/>
            </w:pPr>
            <w:r>
              <w:t>History</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Krausz</w:t>
            </w:r>
          </w:p>
          <w:p w:rsidR="00DB4822" w:rsidRDefault="00DB4822" w:rsidP="00E11062">
            <w:pPr>
              <w:pStyle w:val="Konzulensek"/>
            </w:pPr>
            <w:r w:rsidRPr="00DB4822">
              <w:t>professor ,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question of Holocaust in the light of the German historian-debate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Processing of the modern history of Germany is not without historigraphical debates. The existing disputes from the 1960’s such as "Fischer-Talk", "Sonderweg-debate", and " the historical intencionalism-functionalism debate" or the revival of the German social history writing discussions in the 1970’s are all bound to Germany's role in the Second World War. A particular segment of these debates is the German historians debate from 1986-1987 (Historikerstreit), which is beyond professional cicrles and opened to the public. In my thesis I interpret the phenomenon of Holocaust within this debate. I start my research with the socio-political and historical criteria of the 1980’s, which met in the identity politics. The question of Holocaust appears in two aspects in the dispute. First as a problem of the existence of the Holocaust’s uniqueness in the contrats of the other genocides. Secondly it appears as a problem which respons to the question posed by Ernst Nolte if there is a casual relationship between Auschwitz and the Gulag.</w:t>
      </w:r>
      <w:r>
        <w:rPr>
          <w:color w:val="000000"/>
          <w:sz w:val="24"/>
          <w:szCs w:val="24"/>
        </w:rPr>
        <w:br/>
        <w:t xml:space="preserve">In my study I examine the most important texts from the largest collection volume of the dispute and the major German and English – and with particular attention to - Hungarian interpretations of them. As I place the statements – especially of Ernst Nolte who provoked the debate - in proper context, the works involved to my investigation are beyond the limits of the debate.</w:t>
      </w:r>
      <w:r>
        <w:rPr>
          <w:color w:val="000000"/>
          <w:sz w:val="24"/>
          <w:szCs w:val="24"/>
        </w:rPr>
        <w:br/>
        <w:t xml:space="preserve">In my study I want to present that the interpretation of Historikerstreit can not be irrespective of the parallel debates on the future of historigraphy. The relationship in and out of lore points out the new role of historigraphy. The conservative view of history was widespreadly criticised in the historians debates because of the interpretation of the Holocaust which criticisms were ratified by the results of the last twenty-five years.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236375">
    <w:multiLevelType w:val="hybridMultilevel"/>
    <w:lvl w:ilvl="0" w:tplc="943841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236375">
    <w:abstractNumId w:val="712363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36323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