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RÁDÓCZI</w:t>
            </w:r>
          </w:p>
          <w:p w:rsidR="00C275A3" w:rsidRDefault="00A96AEC" w:rsidP="00C275A3">
            <w:pPr>
              <w:pStyle w:val="Hallgatokepzes"/>
            </w:pPr>
            <w:r>
              <w:t>finance and accounting</w:t>
            </w:r>
            <w:r>
              <w:br/>
            </w:r>
            <w:r w:rsidR="00E77B23">
              <w:t>BA, 7.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Deák, PhD</w:t>
            </w:r>
          </w:p>
          <w:p w:rsidR="00DB4822" w:rsidRDefault="00DB4822" w:rsidP="00E11062">
            <w:pPr>
              <w:pStyle w:val="Konzulensek"/>
            </w:pPr>
            <w:r w:rsidRPr="00DB4822">
              <w:t>associate professor, SZTE GTK</w:t>
            </w:r>
          </w:p>
        </w:tc>
      </w:tr>
      <w:tr w:rsidR="00DB4822" w:rsidTr="00DB4822">
        <w:tc>
          <w:tcPr>
            <w:tcW w:w="9854" w:type="dxa"/>
          </w:tcPr>
          <w:p w:rsidR="00DB4822" w:rsidRPr="00DB4822" w:rsidRDefault="00DB4822" w:rsidP="004D7940">
            <w:pPr>
              <w:pStyle w:val="Konzulensek"/>
            </w:pPr>
            <w:r w:rsidRPr="00DB4822">
              <w:t>Hajnalka Ván</w:t>
            </w:r>
          </w:p>
          <w:p w:rsidR="00DB4822" w:rsidRDefault="00DB4822" w:rsidP="00E11062">
            <w:pPr>
              <w:pStyle w:val="Konzulensek"/>
            </w:pPr>
            <w:r w:rsidRPr="00DB4822">
              <w:t>professor’s assistant,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Crisis: sure it's a curse? The complex analysis of the hungarian electronic companies in the light of the crisis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confusion caused by the real estate market's bubble formed in the United States of America, the sub-prime lending, and the securitization built on it was felt worldwide. Numerous banks and investment institutions signed their bankruptcy sheets due to the liquidity crisis caused by general distrust. The collapse of the Lehman Brothers, bad fiscal policy, political feuds, declining savings, yet increasing indebtedness and stints starting right before the crisis spreading around the world including the already weakened Hungarian country. The impact was clearly felt by everyone. Both production and consumption had an effect on industries that till that point had been developing dynamically. The crises affected the electronics industry too, further supported by statistical data from the Central Hungarian Statistical Office (KSH) that significant losses, and a decrease in sales had been accounted, not only significant in volume, but also in proportion.</w:t>
      </w:r>
      <w:r>
        <w:rPr>
          <w:color w:val="000000"/>
          <w:sz w:val="24"/>
          <w:szCs w:val="24"/>
        </w:rPr>
        <w:br/>
        <w:t xml:space="preserve">The central theme of my thesis concentrates around the analysis of 10 electronics companies, who dealt with the crises effectively, generating remarkable growths.</w:t>
      </w:r>
      <w:r>
        <w:rPr>
          <w:color w:val="000000"/>
          <w:sz w:val="24"/>
          <w:szCs w:val="24"/>
        </w:rPr>
        <w:br/>
        <w:t xml:space="preserve">My objective is to discover the effects of the crisis and the responses given to the crisis concerning such business groups, where success was achieved despite the negative effects of the global recession, because those industries and business sector could be the breakout-areas, which later can be used to prepare for another crisis or -if applicable, tackling with a new one. For analyzing all the contradictions mentioned above I chose the report form analysis. Furthermore, I will discover through accounting analysis the effects of the crisis on the 10 largest Hungarian electronics enterprises outlined by the chosen crisis-factors.</w:t>
      </w:r>
      <w:r>
        <w:rPr>
          <w:color w:val="000000"/>
          <w:sz w:val="24"/>
          <w:szCs w:val="24"/>
        </w:rPr>
        <w:br/>
        <w:t xml:space="preserve">My finally conclusion is that the impact of the crisis was hardly felt by the businesses due to the dynamically increasing revenue and the favorably changing financial and profit indicators.</w:t>
      </w:r>
      <w:r>
        <w:rPr>
          <w:color w:val="000000"/>
          <w:sz w:val="24"/>
          <w:szCs w:val="24"/>
        </w:rPr>
        <w:br/>
        <w:t xml:space="preserve">However, by change of the proportion indicators we can see that the enterprises in 2009 had carried out such risk reduction and stabilizing strategic decisions that cannot be detected in a complex analysis. Furthermore, as a result of my work I found that in times of crisis, the breakout points concerning business were factors like the steadily increasing income, the extensive network of affiliates and the right strategic decisions.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20601">
    <w:multiLevelType w:val="hybridMultilevel"/>
    <w:lvl w:ilvl="0" w:tplc="26105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20601">
    <w:abstractNumId w:val="845206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42435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