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DANCSIK BÁLINT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Gondolatok a pénzügyi rendszer (in)stabilitásáról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Történelmi tény, hogy a pénzügyi rendszer hajlamos a gazdaságot túlzott mértékű hitelmennyiséggel ellátni, ciklikusan megemelve a gazdasági szereplők tőkeáttételét, sérülékennyé téve a gazdaság egészét. Ez a tendencia a ’70-es évek nagy nyitását követően ismét jellemzővé vált, legújabb epizódja 2007-2008-ban köszöntött ránk az Egyesült Államok jelzálogpiaci válságának súlyosbodása nyomán.</w:t>
      </w:r>
      <w:r>
        <w:rPr>
          <w:color w:val="000000"/>
          <w:sz w:val="24"/>
          <w:szCs w:val="24"/>
        </w:rPr>
        <w:br/>
        <w:t xml:space="preserve">A dolgozat ezt a problémát vizsgálja, célja, hogy a hitelezés felfutását két oldalról, a hitelezési képesség és a hitelezési hajlandóság szempontjából világítsa meg. A hitelezési képességet nézve azt találjuk, hogy az utóbbi évtizedekre jellemző gazdaságpolitika, a dereguláció és liberalizáció nagyban kedvezett az egyes nemzeti pénzügyi rendszerek hitelteremtő képességének, a pénzügyek valóban globálissá – és egyúttal rendkívül rugalmassá – váltak. Ennek a rugalmasságnak azonban találkoznia kell az egyes pénzügyi intézmények motivációival, akik a képességbeli korlátok felpuhulását ki tudják és ki akarják használni, túlhitelezve a gazdaság egészét vagy egyes szegmenseit.</w:t>
      </w:r>
      <w:r>
        <w:rPr>
          <w:color w:val="000000"/>
          <w:sz w:val="24"/>
          <w:szCs w:val="24"/>
        </w:rPr>
        <w:br/>
        <w:t xml:space="preserve">A tanulmányban amellett érvelünk, hogy ez a motiváció, és az abból következő döntések rendkívüli hasonlóságot mutatnak a híres közlegelő tragédia történettel: az egyéni érdekek rendszerszintű instabilitást okoznak és kollektív katasztrófához vezethetnek. Ez a csapdahelyzet felveti az állami beavatkozás lehetőségét, azonban a válság előtti években se a monetáris politika, se a felügyeleti politika nem tartotta elsődleges feladatának a rendszerszintű stabilitás feletti őrködést.</w:t>
      </w:r>
      <w:r>
        <w:rPr>
          <w:color w:val="000000"/>
          <w:sz w:val="24"/>
          <w:szCs w:val="24"/>
        </w:rPr>
        <w:br/>
        <w:t xml:space="preserve">A dolgozat végén normatív irányba fordulunk és javaslatokat fogalmazunk meg egy komplex – a monetáris és a felügyeleti politikát is magába foglaló – megközelítés jegyében. Mindkét hatóságnak rendelkezésére állnak eszközök, mellyel az egyensúlytalansági folyamatok ellen tehetnek: hogy mikor melyiket érdemes alkalmazni, az az adott pénzügyi rendszer és a konkrét egyensúlytalanság adottságaitól függ.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10019">
    <w:multiLevelType w:val="hybridMultilevel"/>
    <w:lvl w:ilvl="0" w:tplc="32994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10019">
    <w:abstractNumId w:val="873100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006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