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DANCSIK</w:t>
            </w:r>
          </w:p>
          <w:p w:rsidR="00C275A3" w:rsidRDefault="00A96AEC" w:rsidP="00C275A3">
            <w:pPr>
              <w:pStyle w:val="Hallgatokepzes"/>
            </w:pPr>
            <w:r>
              <w:t>Finance</w:t>
            </w:r>
            <w:r>
              <w:br/>
            </w:r>
            <w:r w:rsidR="00E77B23">
              <w:t>MA, 2.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Kovács</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Some thoughts about the (in)stability of the financial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It’s a historical fact, that the financial system is prone to supply too much credit to the economy, raising the leverage of economic agents in a cyclical manner, making the whole economy vulnerable. This tendency became typical again after the great opening of the seventies: its latest episode greeted us in the form of the US subprime crisis.</w:t>
      </w:r>
      <w:r>
        <w:rPr>
          <w:color w:val="000000"/>
          <w:sz w:val="24"/>
          <w:szCs w:val="24"/>
        </w:rPr>
        <w:br/>
        <w:t xml:space="preserve">The study examines this problem, its aim is to look into the rise of credit supply from two main aspects, namely the ability and the willingness of granting credit. Looking at the question of ability we find, that the last few decades characterized by the policies of deregulation and liberalization made the creation of credit a lot easier, making finances truly global, and also highly elastic. This elasticity has to meet the motivation of financial institutions, who can and want to use the softening of limits on the ability side to supply too much credit to the whole economy or some segments of it.</w:t>
      </w:r>
      <w:r>
        <w:rPr>
          <w:color w:val="000000"/>
          <w:sz w:val="24"/>
          <w:szCs w:val="24"/>
        </w:rPr>
        <w:br/>
        <w:t xml:space="preserve">In this paper we argue, that this motivation, and the decisions stemming from it show great similarity to the famous story of the „Tragedy of the Commons”: individual interests can cause systemic instability and lead to collective catastrophe. This situation raises the question of government intervention, however, before the crisis neither monetary policy, nor prudential supervision had the primary objective of maintaining systemic stability.</w:t>
      </w:r>
      <w:r>
        <w:rPr>
          <w:color w:val="000000"/>
          <w:sz w:val="24"/>
          <w:szCs w:val="24"/>
        </w:rPr>
        <w:br/>
        <w:t xml:space="preserve">At the end of the study, we turn into a normative direction and make suggestions in the name of a complex approach, which integrates monetary policy and prudential supervision as well. Both these authorities have tools, which can be used in order to alleviate some imbalances: the decision about which tool to use depends on the traits of the given imbalance and financial system.</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26404">
    <w:multiLevelType w:val="hybridMultilevel"/>
    <w:lvl w:ilvl="0" w:tplc="29517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26404">
    <w:abstractNumId w:val="380264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359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