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BEKE</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Hajnalka Ván</w:t>
            </w:r>
          </w:p>
          <w:p w:rsidR="00DB4822" w:rsidRDefault="00DB4822" w:rsidP="00E11062">
            <w:pPr>
              <w:pStyle w:val="Konzulensek"/>
            </w:pPr>
            <w:r w:rsidRPr="00DB4822">
              <w:t>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Practical analysis of environmental accounting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Environmental problems impact almost every area and accounting has to respond to these challenges. That is why I chose this topic for my research. Although environmental accounting basically examines the corporate sector, it can be applied for each organisation.</w:t>
      </w:r>
      <w:r>
        <w:rPr>
          <w:color w:val="000000"/>
          <w:sz w:val="24"/>
          <w:szCs w:val="24"/>
        </w:rPr>
        <w:br/>
        <w:t xml:space="preserve">In this study I analyse a non-profit organisation in aspect of environmental accounting. My objective is to quantify the savings of the environmental investments, as well as to analyse the main „green” projects' payback period. The study’s aim is to prove that the non-profit organisations can also cause significant environmental impact, so analysis of these organisations can be as important as analysis of profit oriented companies.</w:t>
      </w:r>
      <w:r>
        <w:rPr>
          <w:color w:val="000000"/>
          <w:sz w:val="24"/>
          <w:szCs w:val="24"/>
        </w:rPr>
        <w:br/>
        <w:t xml:space="preserve">In the theoretical part I study the environmental accounting’s literature, then in the empirical part I analyse data and backings based on interviews. My main conclusion is that green projects can foster the organisations to gain significant savings in energy consumption and also to reduce environmental impact. Furthermore, evaluation of the payback period proves that at the organisation the profit interests do not hinder the execution of environmental measures, so non-profit organisations can be ideal for adaptation of environmental accounting.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97614">
    <w:multiLevelType w:val="hybridMultilevel"/>
    <w:lvl w:ilvl="0" w:tplc="67494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97614">
    <w:abstractNumId w:val="16697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567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