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BOGLÁRKA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Pelle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esetek mint benchmarkok az Európai Unió versenyszabályozásában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versenyszabályozásának vállalkozásokra vonatkozó részét, azon belül is a versenykorlátozó megállapodásokat valamint a gazdasági erőfölénnyel való visszaélés tilalmát az Európai Unió Működéséről szóló Szerződés (EUMSZ) 101. és 102. cikke tartalmazza. A kutatásom alapkérdéseként megfogalmazható, hogy ez a két cikk elegendő szabályozást biztosít-e az egységes piacon a verseny védelmére?</w:t>
      </w:r>
      <w:r>
        <w:rPr>
          <w:color w:val="000000"/>
          <w:sz w:val="24"/>
          <w:szCs w:val="24"/>
        </w:rPr>
        <w:br/>
        <w:t xml:space="preserve">Általánosan elfogadott az az állítás, hogy az Európai Unió versenyszabályozására alkalmazandó szerződések – mind a Római Szerződés, mind a Lisszaboni Szerződés – csak egy keretszabályozás. Felmerül azonban a kérdés, hogy a meglévő szabályozás ténylegesen betölti-e ezt a keretszabály-funkciót? Ezt a keretszabályt az Európai Bizottság és az Európai Unió Bírósága elé kerülő esetek töltik meg tartalommal. Így szintén feltehető a kérdés, hogy e két intézmény elé kerülő esetek elegendő alapot biztosítanak-e a jövőben eléjük kerülő esetek eldöntésére?</w:t>
      </w:r>
      <w:r>
        <w:rPr>
          <w:color w:val="000000"/>
          <w:sz w:val="24"/>
          <w:szCs w:val="24"/>
        </w:rPr>
        <w:br/>
        <w:t xml:space="preserve">Dolgozatomban részletesen megvizsgálom az EUMSZ 101. és 102. cikkének tartalmát, a Bizottság és Bíróság elé kerülő esetek tükrében. Vizsgálatom arra enged következtetni, hogy önmagában a 101. és 102. cikkek nem jelentenek kimerítő szabályozást a Bizottság/Bíróság elé kerülő ügyek elbírálására. Tehát kijelenthető, hogy a 101. és 102. cikkek csak egy keretszabályt fogalmaznak meg, amelyet a Bizottság és a Bíróság töltenek ki tartalommal, az eléjük kerülő precedensek fényében.</w:t>
      </w:r>
      <w:r>
        <w:rPr>
          <w:color w:val="000000"/>
          <w:sz w:val="24"/>
          <w:szCs w:val="24"/>
        </w:rPr>
        <w:br/>
        <w:t xml:space="preserve">A világ olyan sok különböző élethelyzetet generál, hogy egyetlen szabályozás sem lenne képes mindent átfogóan szabályozni. A Szerződés alkalmazandó versenyszabályozási cikkei közel ötvenöt éve változatlanok, ami megerősíti azt a felvetést, hogy a Szerződés csak keretszabályként funkcionál. Hiszen ha mindenre kiterjedne, akkor a rohamosan fejlődő világ újra és újra olyan élethelyzeteket hozna, amelyek a Szerződés érvényességét és alkalmazhatóságát folyamatosan megkérdőjeleznék. Példának elég felhozni, hogy az IT szektor mennyit változott ötvenöt év alatt. A Bizottság és a Bíróság az elé kerülő ügyeket rendre széleskörűen vizsgálja, korábbi döntéseket is figyelembe véve, amelyek tehát jó kiindulópontként szolgálnak az újonnan felmerülő esetek eldöntésére. Másrészről a keretszabály adta változatlanság stabil alapot biztosít a döntésekhez.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18726">
    <w:multiLevelType w:val="hybridMultilevel"/>
    <w:lvl w:ilvl="0" w:tplc="79346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18726">
    <w:abstractNumId w:val="30418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971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