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FEKETE</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Pelle,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Cases as benchmarks in the European Union's competition regulation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European Union’s competition regulation concerning undertakings, more precisely, regulation on restrictive agreements and dominant position is covered by Articles 101 and 102 of the Treaty on the Functioning of the European Union (TFEU). The basic question of my research is whether these two articles provide sufficient regulation to protect competition in the internal market.</w:t>
      </w:r>
      <w:r>
        <w:rPr>
          <w:color w:val="000000"/>
          <w:sz w:val="24"/>
          <w:szCs w:val="24"/>
        </w:rPr>
        <w:br/>
        <w:t xml:space="preserve">The statement that the Treaties applicable to competition policy of the EU, that is, the Treaty of Rome and the Lisbon Treaty, only serve as a framework, is generally accepted.</w:t>
      </w:r>
      <w:r>
        <w:rPr>
          <w:color w:val="000000"/>
          <w:sz w:val="24"/>
          <w:szCs w:val="24"/>
        </w:rPr>
        <w:br/>
        <w:t xml:space="preserve">However, the question is raised whether the existing regulation fulfills this framework function indeed. The framework regulation is filled with content through the cases investigated by the European Commission and the Court.</w:t>
      </w:r>
      <w:r>
        <w:rPr>
          <w:color w:val="000000"/>
          <w:sz w:val="24"/>
          <w:szCs w:val="24"/>
        </w:rPr>
        <w:br/>
        <w:t xml:space="preserve">So, another question can be asked whether the cases that these institutions come across serve as a sufficient base for decisions on future cases.</w:t>
      </w:r>
      <w:r>
        <w:rPr>
          <w:color w:val="000000"/>
          <w:sz w:val="24"/>
          <w:szCs w:val="24"/>
        </w:rPr>
        <w:br/>
        <w:t xml:space="preserve">In my study, I give a thorough analysis of the contents of Articles 101 and 102 of the TFEU, in light of the cases investigated by the Commission and the Court. My analysis comes to the conclusion that Articles 101 and 102 do not appear as a regulation for the Commission/Court to decide the investigated cases. Therefore, it can be claimed that Articles 101 and 102 only serve as a regulatory framework which is then filled with contents by the Commission and the Court, in light of the cases they investigate.</w:t>
      </w:r>
      <w:r>
        <w:rPr>
          <w:color w:val="000000"/>
          <w:sz w:val="24"/>
          <w:szCs w:val="24"/>
        </w:rPr>
        <w:br/>
        <w:t xml:space="preserve">Life generates so many types of situation that no single regulation would be apt to embrace everything. The applicable competition regulation articles of the Treaty have been unchanged for almost fifty-five years, which proves the assumption that the Treaty only serves as a regulatory framework. Because if it covered everything, the rapidly developing world would repeatedly induce situations that would constantly question the validity and applicability of the Treaty. It is enough to recall the example how much the IT sector has changed in fifty-five years. The Commission and the Court execute a thorough investigation in each case, taking into consideration earlier decisions, which thus serve as a good starting point when making new decisions. On the other hand, the invariability provided by the regulatory framework provides a stable base for the decisions.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57887">
    <w:multiLevelType w:val="hybridMultilevel"/>
    <w:lvl w:ilvl="0" w:tplc="53085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57887">
    <w:abstractNumId w:val="34557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404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